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jc w:val="both"/>
        <w:outlineLvl w:val="0"/>
        <w:rPr>
          <w:rFonts w:ascii="宋体" w:hAnsi="宋体"/>
          <w:b/>
          <w:sz w:val="36"/>
          <w:szCs w:val="36"/>
        </w:rPr>
      </w:pPr>
      <w:bookmarkStart w:id="0" w:name="_Toc152267370"/>
      <w:r>
        <w:rPr>
          <w:rFonts w:hint="eastAsia" w:ascii="宋体" w:hAnsi="宋体"/>
          <w:b/>
          <w:sz w:val="36"/>
          <w:szCs w:val="36"/>
        </w:rPr>
        <w:t xml:space="preserve">  </w:t>
      </w:r>
      <w:r>
        <w:rPr>
          <w:rFonts w:hint="eastAsia" w:ascii="宋体" w:hAnsi="宋体"/>
          <w:b/>
          <w:sz w:val="36"/>
          <w:szCs w:val="36"/>
          <w:lang w:val="en-US" w:eastAsia="zh-CN"/>
        </w:rPr>
        <w:t xml:space="preserve">           </w:t>
      </w:r>
      <w:bookmarkStart w:id="12" w:name="_GoBack"/>
      <w:bookmarkEnd w:id="12"/>
      <w:r>
        <w:rPr>
          <w:rFonts w:ascii="宋体" w:hAnsi="宋体"/>
          <w:b/>
          <w:sz w:val="36"/>
          <w:szCs w:val="36"/>
        </w:rPr>
        <w:t>采购需求</w:t>
      </w:r>
      <w:bookmarkEnd w:id="0"/>
    </w:p>
    <w:p>
      <w:pPr>
        <w:pStyle w:val="11"/>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r>
        <w:rPr>
          <w:rFonts w:hint="eastAsia" w:ascii="宋体" w:hAnsi="宋体"/>
          <w:b/>
          <w:sz w:val="24"/>
          <w:szCs w:val="24"/>
        </w:rPr>
        <w:t>及</w:t>
      </w:r>
      <w:r>
        <w:rPr>
          <w:rFonts w:ascii="宋体" w:hAnsi="宋体"/>
          <w:b/>
          <w:sz w:val="24"/>
          <w:szCs w:val="24"/>
        </w:rPr>
        <w:t>项目概况</w:t>
      </w:r>
    </w:p>
    <w:p>
      <w:pPr>
        <w:spacing w:line="360" w:lineRule="auto"/>
        <w:contextualSpacing/>
        <w:rPr>
          <w:rFonts w:ascii="宋体" w:hAnsi="宋体"/>
          <w:bCs/>
          <w:sz w:val="24"/>
        </w:rPr>
      </w:pPr>
      <w:r>
        <w:rPr>
          <w:rFonts w:ascii="宋体" w:hAnsi="宋体"/>
          <w:bCs/>
          <w:sz w:val="24"/>
        </w:rPr>
        <w:t>1.采购标的</w:t>
      </w:r>
    </w:p>
    <w:tbl>
      <w:tblPr>
        <w:tblStyle w:val="9"/>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363"/>
        <w:gridCol w:w="1276"/>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57" w:type="dxa"/>
            <w:vAlign w:val="center"/>
          </w:tcPr>
          <w:p>
            <w:pPr>
              <w:pStyle w:val="6"/>
              <w:spacing w:after="0" w:line="240" w:lineRule="auto"/>
              <w:rPr>
                <w:rFonts w:ascii="宋体" w:hAnsi="宋体"/>
                <w:sz w:val="24"/>
              </w:rPr>
            </w:pPr>
            <w:r>
              <w:rPr>
                <w:rFonts w:hint="eastAsia" w:ascii="宋体" w:hAnsi="宋体"/>
                <w:sz w:val="24"/>
              </w:rPr>
              <w:t>序号</w:t>
            </w:r>
          </w:p>
        </w:tc>
        <w:tc>
          <w:tcPr>
            <w:tcW w:w="1363" w:type="dxa"/>
            <w:vAlign w:val="center"/>
          </w:tcPr>
          <w:p>
            <w:pPr>
              <w:pStyle w:val="6"/>
              <w:spacing w:after="0" w:line="240" w:lineRule="auto"/>
              <w:rPr>
                <w:rFonts w:ascii="宋体" w:hAnsi="宋体"/>
                <w:sz w:val="24"/>
              </w:rPr>
            </w:pPr>
            <w:r>
              <w:rPr>
                <w:rFonts w:hint="eastAsia" w:ascii="宋体" w:hAnsi="宋体"/>
                <w:sz w:val="24"/>
              </w:rPr>
              <w:t>项目</w:t>
            </w:r>
            <w:r>
              <w:rPr>
                <w:rFonts w:ascii="宋体" w:hAnsi="宋体"/>
                <w:sz w:val="24"/>
              </w:rPr>
              <w:t>名称</w:t>
            </w:r>
          </w:p>
        </w:tc>
        <w:tc>
          <w:tcPr>
            <w:tcW w:w="1276" w:type="dxa"/>
            <w:vAlign w:val="center"/>
          </w:tcPr>
          <w:p>
            <w:pPr>
              <w:pStyle w:val="6"/>
              <w:spacing w:after="0" w:line="240" w:lineRule="auto"/>
              <w:rPr>
                <w:rFonts w:ascii="宋体" w:hAnsi="宋体"/>
                <w:sz w:val="24"/>
              </w:rPr>
            </w:pPr>
            <w:r>
              <w:rPr>
                <w:rFonts w:hint="eastAsia" w:ascii="宋体" w:hAnsi="宋体"/>
                <w:sz w:val="24"/>
              </w:rPr>
              <w:t>项目</w:t>
            </w:r>
            <w:r>
              <w:rPr>
                <w:rFonts w:ascii="宋体" w:hAnsi="宋体"/>
                <w:sz w:val="24"/>
              </w:rPr>
              <w:t>预算</w:t>
            </w:r>
          </w:p>
        </w:tc>
        <w:tc>
          <w:tcPr>
            <w:tcW w:w="5180" w:type="dxa"/>
            <w:vAlign w:val="center"/>
          </w:tcPr>
          <w:p>
            <w:pPr>
              <w:pStyle w:val="6"/>
              <w:spacing w:after="0" w:line="240" w:lineRule="auto"/>
              <w:rPr>
                <w:rFonts w:ascii="宋体" w:hAnsi="宋体"/>
                <w:sz w:val="24"/>
              </w:rPr>
            </w:pPr>
            <w:r>
              <w:rPr>
                <w:rFonts w:ascii="宋体" w:hAnsi="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Style w:val="6"/>
              <w:spacing w:after="0" w:line="240" w:lineRule="auto"/>
              <w:rPr>
                <w:rFonts w:ascii="宋体" w:hAnsi="宋体"/>
                <w:sz w:val="24"/>
              </w:rPr>
            </w:pPr>
            <w:r>
              <w:rPr>
                <w:rFonts w:hint="eastAsia" w:ascii="宋体" w:hAnsi="宋体"/>
                <w:sz w:val="24"/>
              </w:rPr>
              <w:t>1</w:t>
            </w:r>
          </w:p>
        </w:tc>
        <w:tc>
          <w:tcPr>
            <w:tcW w:w="1363" w:type="dxa"/>
            <w:vAlign w:val="center"/>
          </w:tcPr>
          <w:p>
            <w:pPr>
              <w:pStyle w:val="6"/>
              <w:spacing w:after="0" w:line="240" w:lineRule="auto"/>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北京胸科医院互联网医院</w:t>
            </w:r>
            <w:r>
              <w:rPr>
                <w:rFonts w:hint="eastAsia" w:ascii="宋体" w:hAnsi="宋体"/>
                <w:sz w:val="24"/>
              </w:rPr>
              <w:t>系统运维服务</w:t>
            </w:r>
          </w:p>
        </w:tc>
        <w:tc>
          <w:tcPr>
            <w:tcW w:w="1276" w:type="dxa"/>
            <w:vAlign w:val="center"/>
          </w:tcPr>
          <w:p>
            <w:pPr>
              <w:pStyle w:val="6"/>
              <w:spacing w:after="0" w:line="240" w:lineRule="auto"/>
              <w:rPr>
                <w:rFonts w:ascii="宋体" w:hAnsi="宋体"/>
                <w:sz w:val="24"/>
              </w:rPr>
            </w:pPr>
            <w:r>
              <w:rPr>
                <w:rFonts w:hint="eastAsia" w:ascii="宋体" w:hAnsi="宋体"/>
                <w:sz w:val="24"/>
                <w:lang w:val="en-US" w:eastAsia="zh-CN"/>
              </w:rPr>
              <w:t>22</w:t>
            </w:r>
            <w:r>
              <w:rPr>
                <w:rFonts w:hint="eastAsia" w:ascii="宋体" w:hAnsi="宋体"/>
                <w:sz w:val="24"/>
              </w:rPr>
              <w:t>万元</w:t>
            </w:r>
          </w:p>
        </w:tc>
        <w:tc>
          <w:tcPr>
            <w:tcW w:w="5180" w:type="dxa"/>
            <w:vAlign w:val="center"/>
          </w:tcPr>
          <w:p>
            <w:pPr>
              <w:pStyle w:val="6"/>
              <w:spacing w:after="0" w:line="240" w:lineRule="auto"/>
              <w:ind w:firstLine="240" w:firstLineChars="10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为适应医院信息化发展趋势和的实际业务应用需求，要求供应商对医院</w:t>
            </w:r>
            <w:r>
              <w:rPr>
                <w:rFonts w:hint="eastAsia" w:ascii="宋体" w:hAnsi="宋体" w:cs="宋体"/>
                <w:sz w:val="24"/>
                <w:lang w:val="en-US" w:eastAsia="zh-CN"/>
              </w:rPr>
              <w:t>互联网医院</w:t>
            </w:r>
            <w:r>
              <w:rPr>
                <w:rFonts w:hint="eastAsia" w:ascii="宋体" w:hAnsi="宋体" w:cs="宋体"/>
                <w:sz w:val="24"/>
              </w:rPr>
              <w:t>系统提供全面运维及技术支持服务，在医院现有</w:t>
            </w:r>
            <w:r>
              <w:rPr>
                <w:rFonts w:hint="eastAsia" w:ascii="宋体" w:hAnsi="宋体" w:cs="宋体"/>
                <w:sz w:val="24"/>
                <w:lang w:val="en-US" w:eastAsia="zh-CN"/>
              </w:rPr>
              <w:t>互联网医院</w:t>
            </w:r>
            <w:r>
              <w:rPr>
                <w:rFonts w:hint="eastAsia" w:ascii="宋体" w:hAnsi="宋体" w:cs="宋体"/>
                <w:sz w:val="24"/>
              </w:rPr>
              <w:t>系统使用需求的基础上，兼顾今后此系统的长期稳定性和可管理性，在不影响现有医院</w:t>
            </w:r>
            <w:r>
              <w:rPr>
                <w:rFonts w:hint="eastAsia" w:ascii="宋体" w:hAnsi="宋体" w:cs="宋体"/>
                <w:sz w:val="24"/>
                <w:lang w:val="en-US" w:eastAsia="zh-CN"/>
              </w:rPr>
              <w:t>互联网医院</w:t>
            </w:r>
            <w:r>
              <w:rPr>
                <w:rFonts w:hint="eastAsia" w:ascii="宋体" w:hAnsi="宋体" w:cs="宋体"/>
                <w:sz w:val="24"/>
              </w:rPr>
              <w:t>系统的正常工作下，</w:t>
            </w:r>
            <w:r>
              <w:rPr>
                <w:rFonts w:ascii="宋体" w:hAnsi="宋体" w:cs="宋体"/>
                <w:sz w:val="24"/>
              </w:rPr>
              <w:t>通过非现场服务及现场服务两种服务方式提供技术支持、故障处理、数据处理、服务保障、定期巡检等运维服务，实现各类数据持续汇聚与整合。</w:t>
            </w:r>
          </w:p>
          <w:p>
            <w:pPr>
              <w:pStyle w:val="6"/>
              <w:spacing w:after="0" w:line="240" w:lineRule="auto"/>
              <w:jc w:val="left"/>
              <w:rPr>
                <w:rFonts w:hint="default" w:ascii="宋体" w:hAnsi="宋体" w:eastAsia="宋体" w:cs="宋体"/>
                <w:sz w:val="24"/>
                <w:lang w:val="en-US" w:eastAsia="zh-CN"/>
              </w:rPr>
            </w:pPr>
            <w:r>
              <w:rPr>
                <w:rFonts w:hint="eastAsia" w:ascii="宋体" w:hAnsi="宋体" w:cs="宋体"/>
                <w:sz w:val="24"/>
                <w:lang w:val="en-US" w:eastAsia="zh-CN"/>
              </w:rPr>
              <w:t xml:space="preserve">  2、提供系统运维服务期限内所需要承担的三方费用如下：智能导诊服务费用、APP原生推送费用、AI报告解读token费用、IM音视频费用、实名认证费用、IOS开发者账号年费；</w:t>
            </w:r>
          </w:p>
        </w:tc>
      </w:tr>
    </w:tbl>
    <w:p>
      <w:pPr>
        <w:pStyle w:val="3"/>
      </w:pPr>
      <w:r>
        <w:rPr>
          <w:rFonts w:hint="eastAsia"/>
        </w:rPr>
        <w:t>2.项目概况</w:t>
      </w:r>
    </w:p>
    <w:p>
      <w:pPr>
        <w:spacing w:line="360" w:lineRule="auto"/>
        <w:ind w:firstLine="420"/>
        <w:rPr>
          <w:rFonts w:hint="eastAsia" w:ascii="宋体" w:hAnsi="宋体" w:cs="宋体"/>
          <w:color w:val="000000" w:themeColor="text1"/>
          <w:spacing w:val="-1"/>
          <w:kern w:val="0"/>
          <w:sz w:val="24"/>
          <w:lang w:bidi="ar"/>
          <w14:textFill>
            <w14:solidFill>
              <w14:schemeClr w14:val="tx1"/>
            </w14:solidFill>
          </w14:textFill>
        </w:rPr>
      </w:pPr>
      <w:r>
        <w:rPr>
          <w:rFonts w:hint="eastAsia" w:ascii="宋体" w:hAnsi="宋体"/>
          <w:sz w:val="24"/>
        </w:rPr>
        <w:t>目前</w:t>
      </w:r>
      <w:r>
        <w:rPr>
          <w:rFonts w:hint="eastAsia" w:ascii="宋体" w:hAnsi="宋体" w:cs="宋体"/>
          <w:sz w:val="24"/>
          <w:lang w:val="en-US" w:eastAsia="zh-CN"/>
        </w:rPr>
        <w:t>互联网医院</w:t>
      </w:r>
      <w:r>
        <w:rPr>
          <w:rFonts w:hint="eastAsia" w:ascii="宋体" w:hAnsi="宋体" w:cs="宋体"/>
          <w:sz w:val="24"/>
        </w:rPr>
        <w:t>系统</w:t>
      </w:r>
      <w:r>
        <w:rPr>
          <w:rFonts w:hint="eastAsia" w:ascii="宋体" w:hAnsi="宋体"/>
          <w:sz w:val="24"/>
        </w:rPr>
        <w:t>系统</w:t>
      </w:r>
      <w:r>
        <w:rPr>
          <w:rFonts w:hint="eastAsia" w:ascii="宋体" w:hAnsi="宋体" w:cs="宋体"/>
          <w:color w:val="000000" w:themeColor="text1"/>
          <w:spacing w:val="-1"/>
          <w:kern w:val="0"/>
          <w:sz w:val="24"/>
          <w:lang w:bidi="ar"/>
          <w14:textFill>
            <w14:solidFill>
              <w14:schemeClr w14:val="tx1"/>
            </w14:solidFill>
          </w14:textFill>
        </w:rPr>
        <w:t>提供：</w:t>
      </w:r>
    </w:p>
    <w:p>
      <w:pPr>
        <w:pStyle w:val="3"/>
      </w:pPr>
      <w:r>
        <w:rPr>
          <w:b/>
          <w:bCs/>
        </w:rPr>
        <w:t>患者端</w:t>
      </w:r>
      <w:r>
        <w:rPr>
          <w:rFonts w:hint="eastAsia"/>
          <w:b/>
          <w:bCs/>
          <w:lang w:eastAsia="zh-CN"/>
        </w:rPr>
        <w:t>：</w:t>
      </w:r>
      <w:r>
        <w:t>在线咨询</w:t>
      </w:r>
      <w:r>
        <w:rPr>
          <w:rFonts w:hint="eastAsia"/>
          <w:lang w:eastAsia="zh-CN"/>
        </w:rPr>
        <w:t>、</w:t>
      </w:r>
      <w:r>
        <w:t>线上复诊</w:t>
      </w:r>
      <w:r>
        <w:rPr>
          <w:rFonts w:hint="eastAsia"/>
          <w:lang w:eastAsia="zh-CN"/>
        </w:rPr>
        <w:t>、</w:t>
      </w:r>
      <w:r>
        <w:t>复诊续方</w:t>
      </w:r>
      <w:r>
        <w:rPr>
          <w:rFonts w:hint="eastAsia"/>
          <w:lang w:eastAsia="zh-CN"/>
        </w:rPr>
        <w:t>、</w:t>
      </w:r>
      <w:r>
        <w:t>诊前报到</w:t>
      </w:r>
      <w:r>
        <w:rPr>
          <w:rFonts w:hint="eastAsia"/>
          <w:lang w:eastAsia="zh-CN"/>
        </w:rPr>
        <w:t>、</w:t>
      </w:r>
      <w:r>
        <w:t>诊间支付</w:t>
      </w:r>
      <w:r>
        <w:rPr>
          <w:rFonts w:hint="eastAsia"/>
          <w:lang w:eastAsia="zh-CN"/>
        </w:rPr>
        <w:t>、</w:t>
      </w:r>
      <w:r>
        <w:t>患者知情同意</w:t>
      </w:r>
      <w:r>
        <w:rPr>
          <w:rFonts w:hint="eastAsia"/>
          <w:lang w:eastAsia="zh-CN"/>
        </w:rPr>
        <w:t>、</w:t>
      </w:r>
      <w:r>
        <w:t>医师服务费线上医保分解</w:t>
      </w:r>
      <w:r>
        <w:rPr>
          <w:rFonts w:hint="eastAsia"/>
          <w:lang w:eastAsia="zh-CN"/>
        </w:rPr>
        <w:t>、</w:t>
      </w:r>
      <w:r>
        <w:t>物流配送</w:t>
      </w:r>
      <w:r>
        <w:rPr>
          <w:rFonts w:hint="eastAsia"/>
          <w:lang w:eastAsia="zh-CN"/>
        </w:rPr>
        <w:t>、</w:t>
      </w:r>
      <w:r>
        <w:t>电子病历查看</w:t>
      </w:r>
      <w:r>
        <w:rPr>
          <w:rFonts w:hint="eastAsia"/>
          <w:lang w:eastAsia="zh-CN"/>
        </w:rPr>
        <w:t>、</w:t>
      </w:r>
      <w:r>
        <w:t>实名认证</w:t>
      </w:r>
      <w:r>
        <w:rPr>
          <w:rFonts w:hint="eastAsia"/>
          <w:lang w:eastAsia="zh-CN"/>
        </w:rPr>
        <w:t>、</w:t>
      </w:r>
      <w:r>
        <w:t>线上复诊满意度调查</w:t>
      </w:r>
      <w:r>
        <w:rPr>
          <w:rFonts w:hint="eastAsia"/>
          <w:lang w:eastAsia="zh-CN"/>
        </w:rPr>
        <w:t>、</w:t>
      </w:r>
      <w:r>
        <w:t>线上信息查询</w:t>
      </w:r>
      <w:r>
        <w:rPr>
          <w:rFonts w:hint="eastAsia"/>
          <w:lang w:eastAsia="zh-CN"/>
        </w:rPr>
        <w:t>、</w:t>
      </w:r>
      <w:r>
        <w:t>其他功能</w:t>
      </w:r>
    </w:p>
    <w:p>
      <w:pPr>
        <w:pStyle w:val="3"/>
      </w:pPr>
      <w:r>
        <w:rPr>
          <w:b/>
          <w:bCs/>
        </w:rPr>
        <w:t>医生端</w:t>
      </w:r>
      <w:r>
        <w:rPr>
          <w:rFonts w:hint="eastAsia"/>
          <w:b/>
          <w:bCs/>
          <w:lang w:eastAsia="zh-CN"/>
        </w:rPr>
        <w:t>：</w:t>
      </w:r>
      <w:r>
        <w:t>在线咨询</w:t>
      </w:r>
      <w:r>
        <w:rPr>
          <w:rFonts w:hint="eastAsia"/>
          <w:lang w:eastAsia="zh-CN"/>
        </w:rPr>
        <w:t>、</w:t>
      </w:r>
      <w:r>
        <w:t>线上复诊</w:t>
      </w:r>
      <w:r>
        <w:rPr>
          <w:rFonts w:hint="eastAsia"/>
          <w:lang w:eastAsia="zh-CN"/>
        </w:rPr>
        <w:t>、</w:t>
      </w:r>
      <w:r>
        <w:t>复诊开方</w:t>
      </w:r>
      <w:r>
        <w:rPr>
          <w:rFonts w:hint="eastAsia"/>
          <w:lang w:eastAsia="zh-CN"/>
        </w:rPr>
        <w:t>、</w:t>
      </w:r>
      <w:r>
        <w:t>病历同步</w:t>
      </w:r>
      <w:r>
        <w:rPr>
          <w:rFonts w:hint="eastAsia"/>
          <w:lang w:eastAsia="zh-CN"/>
        </w:rPr>
        <w:t>、</w:t>
      </w:r>
      <w:r>
        <w:t>药师咨询</w:t>
      </w:r>
      <w:r>
        <w:rPr>
          <w:rFonts w:hint="eastAsia"/>
          <w:lang w:eastAsia="zh-CN"/>
        </w:rPr>
        <w:t>、</w:t>
      </w:r>
      <w:r>
        <w:t>电子验签</w:t>
      </w:r>
    </w:p>
    <w:p>
      <w:pPr>
        <w:pStyle w:val="3"/>
      </w:pPr>
      <w:r>
        <w:rPr>
          <w:b/>
          <w:bCs/>
        </w:rPr>
        <w:t>管理端</w:t>
      </w:r>
      <w:r>
        <w:rPr>
          <w:rFonts w:hint="eastAsia"/>
          <w:b/>
          <w:bCs/>
          <w:lang w:eastAsia="zh-CN"/>
        </w:rPr>
        <w:t>：</w:t>
      </w:r>
      <w:r>
        <w:t>互联网诊疗相关数据同步</w:t>
      </w:r>
      <w:r>
        <w:rPr>
          <w:rFonts w:hint="eastAsia"/>
          <w:lang w:eastAsia="zh-CN"/>
        </w:rPr>
        <w:t>、</w:t>
      </w:r>
      <w:r>
        <w:t>医生排班</w:t>
      </w:r>
      <w:r>
        <w:rPr>
          <w:rFonts w:hint="eastAsia"/>
          <w:lang w:eastAsia="zh-CN"/>
        </w:rPr>
        <w:t>、</w:t>
      </w:r>
      <w:r>
        <w:t>业务配置工具</w:t>
      </w:r>
      <w:r>
        <w:rPr>
          <w:rFonts w:hint="eastAsia"/>
          <w:lang w:eastAsia="zh-CN"/>
        </w:rPr>
        <w:t>、</w:t>
      </w:r>
      <w:r>
        <w:t>业务查询</w:t>
      </w:r>
      <w:r>
        <w:rPr>
          <w:rFonts w:hint="eastAsia"/>
          <w:lang w:eastAsia="zh-CN"/>
        </w:rPr>
        <w:t>、</w:t>
      </w:r>
      <w:r>
        <w:t>就诊记录</w:t>
      </w:r>
      <w:r>
        <w:rPr>
          <w:rFonts w:hint="eastAsia"/>
          <w:lang w:eastAsia="zh-CN"/>
        </w:rPr>
        <w:t>、</w:t>
      </w:r>
      <w:r>
        <w:t>退费管理</w:t>
      </w:r>
      <w:r>
        <w:rPr>
          <w:rFonts w:hint="eastAsia"/>
          <w:lang w:eastAsia="zh-CN"/>
        </w:rPr>
        <w:t>、</w:t>
      </w:r>
      <w:r>
        <w:t>账号分权</w:t>
      </w:r>
    </w:p>
    <w:p>
      <w:pPr>
        <w:pStyle w:val="3"/>
      </w:pPr>
      <w:r>
        <w:rPr>
          <w:b/>
          <w:bCs/>
        </w:rPr>
        <w:t>业务管理工具</w:t>
      </w:r>
      <w:r>
        <w:rPr>
          <w:rFonts w:hint="eastAsia"/>
          <w:b/>
          <w:bCs/>
          <w:lang w:eastAsia="zh-CN"/>
        </w:rPr>
        <w:t>：</w:t>
      </w:r>
      <w:r>
        <w:t>对账工具</w:t>
      </w:r>
      <w:r>
        <w:rPr>
          <w:rFonts w:hint="eastAsia"/>
          <w:lang w:eastAsia="zh-CN"/>
        </w:rPr>
        <w:t>、</w:t>
      </w:r>
      <w:r>
        <w:t>自动对账异常提醒</w:t>
      </w:r>
      <w:r>
        <w:rPr>
          <w:rFonts w:hint="eastAsia"/>
          <w:lang w:eastAsia="zh-CN"/>
        </w:rPr>
        <w:t>、</w:t>
      </w:r>
      <w:r>
        <w:t>对账统计</w:t>
      </w:r>
    </w:p>
    <w:p>
      <w:pPr>
        <w:pStyle w:val="3"/>
      </w:pPr>
      <w:r>
        <w:rPr>
          <w:b/>
          <w:bCs/>
        </w:rPr>
        <w:t>便民惠民</w:t>
      </w:r>
      <w:r>
        <w:rPr>
          <w:rFonts w:hint="eastAsia"/>
          <w:b/>
          <w:bCs/>
          <w:lang w:eastAsia="zh-CN"/>
        </w:rPr>
        <w:t>：</w:t>
      </w:r>
      <w:r>
        <w:t>移动医保支付</w:t>
      </w:r>
      <w:r>
        <w:rPr>
          <w:rFonts w:hint="eastAsia"/>
          <w:lang w:eastAsia="zh-CN"/>
        </w:rPr>
        <w:t>、</w:t>
      </w:r>
      <w:r>
        <w:t>电子发票</w:t>
      </w:r>
      <w:r>
        <w:rPr>
          <w:rFonts w:hint="eastAsia"/>
          <w:lang w:eastAsia="zh-CN"/>
        </w:rPr>
        <w:t>、</w:t>
      </w:r>
      <w:r>
        <w:t>患者便利保障服务</w:t>
      </w:r>
      <w:r>
        <w:rPr>
          <w:rFonts w:hint="eastAsia"/>
          <w:lang w:eastAsia="zh-CN"/>
        </w:rPr>
        <w:t>、</w:t>
      </w:r>
      <w:r>
        <w:t>完善门诊当日 / 预约挂号业务</w:t>
      </w:r>
      <w:r>
        <w:rPr>
          <w:rFonts w:hint="eastAsia"/>
          <w:lang w:eastAsia="zh-CN"/>
        </w:rPr>
        <w:t>、</w:t>
      </w:r>
      <w:r>
        <w:t>完善门诊在线缴费业务</w:t>
      </w:r>
      <w:r>
        <w:rPr>
          <w:rFonts w:hint="eastAsia"/>
          <w:lang w:eastAsia="zh-CN"/>
        </w:rPr>
        <w:t>、</w:t>
      </w:r>
      <w:r>
        <w:t>完善门诊报告查询业务</w:t>
      </w:r>
      <w:r>
        <w:rPr>
          <w:rFonts w:hint="eastAsia"/>
          <w:lang w:eastAsia="zh-CN"/>
        </w:rPr>
        <w:t>、</w:t>
      </w:r>
      <w:r>
        <w:t>费用相关</w:t>
      </w:r>
      <w:r>
        <w:rPr>
          <w:rFonts w:hint="eastAsia"/>
          <w:lang w:eastAsia="zh-CN"/>
        </w:rPr>
        <w:t>、</w:t>
      </w:r>
      <w:r>
        <w:t>科普</w:t>
      </w:r>
      <w:r>
        <w:rPr>
          <w:rFonts w:hint="eastAsia"/>
          <w:lang w:eastAsia="zh-CN"/>
        </w:rPr>
        <w:t>、</w:t>
      </w:r>
      <w:r>
        <w:t>区域中心</w:t>
      </w:r>
    </w:p>
    <w:p>
      <w:pPr>
        <w:pStyle w:val="3"/>
      </w:pPr>
    </w:p>
    <w:p>
      <w:pPr>
        <w:pStyle w:val="3"/>
      </w:pPr>
      <w:r>
        <w:rPr>
          <w:rFonts w:hint="eastAsia"/>
          <w:lang w:bidi="ar"/>
        </w:rPr>
        <w:t>本项目旨在对以上原有系统提供运维服务。</w:t>
      </w:r>
    </w:p>
    <w:p>
      <w:pPr>
        <w:pStyle w:val="11"/>
        <w:numPr>
          <w:ilvl w:val="0"/>
          <w:numId w:val="1"/>
        </w:numPr>
        <w:spacing w:line="360" w:lineRule="auto"/>
        <w:ind w:firstLineChars="0"/>
        <w:contextualSpacing/>
        <w:rPr>
          <w:rFonts w:ascii="宋体" w:hAnsi="宋体"/>
          <w:b/>
          <w:sz w:val="24"/>
          <w:szCs w:val="24"/>
        </w:rPr>
      </w:pPr>
      <w:r>
        <w:rPr>
          <w:rFonts w:ascii="宋体" w:hAnsi="宋体"/>
          <w:b/>
          <w:sz w:val="24"/>
          <w:szCs w:val="24"/>
        </w:rPr>
        <w:t>商务要求</w:t>
      </w:r>
    </w:p>
    <w:p>
      <w:pPr>
        <w:spacing w:line="360" w:lineRule="auto"/>
        <w:ind w:firstLine="480" w:firstLineChars="200"/>
        <w:contextualSpacing/>
        <w:rPr>
          <w:rFonts w:ascii="宋体" w:hAnsi="宋体"/>
          <w:sz w:val="24"/>
        </w:rPr>
      </w:pPr>
      <w:r>
        <w:rPr>
          <w:rFonts w:hint="eastAsia" w:ascii="宋体" w:hAnsi="宋体"/>
          <w:sz w:val="24"/>
        </w:rPr>
        <w:t>1.服务期限</w:t>
      </w:r>
      <w:r>
        <w:rPr>
          <w:rFonts w:ascii="宋体" w:hAnsi="宋体"/>
          <w:sz w:val="24"/>
        </w:rPr>
        <w:t>和</w:t>
      </w:r>
      <w:r>
        <w:rPr>
          <w:rFonts w:hint="eastAsia" w:ascii="宋体" w:hAnsi="宋体"/>
          <w:sz w:val="24"/>
        </w:rPr>
        <w:t>服务</w:t>
      </w:r>
      <w:r>
        <w:rPr>
          <w:rFonts w:ascii="宋体" w:hAnsi="宋体"/>
          <w:sz w:val="24"/>
        </w:rPr>
        <w:t>地点</w:t>
      </w:r>
    </w:p>
    <w:p>
      <w:pPr>
        <w:spacing w:line="360" w:lineRule="auto"/>
        <w:ind w:firstLine="480" w:firstLineChars="200"/>
        <w:contextualSpacing/>
        <w:rPr>
          <w:rFonts w:ascii="宋体" w:hAnsi="宋体"/>
          <w:sz w:val="24"/>
        </w:rPr>
      </w:pPr>
      <w:r>
        <w:rPr>
          <w:rFonts w:hint="eastAsia" w:ascii="宋体" w:hAnsi="宋体"/>
          <w:sz w:val="24"/>
        </w:rPr>
        <w:t>服务期限：1年。</w:t>
      </w:r>
    </w:p>
    <w:p>
      <w:pPr>
        <w:spacing w:line="360" w:lineRule="auto"/>
        <w:ind w:firstLine="480" w:firstLineChars="200"/>
        <w:contextualSpacing/>
        <w:rPr>
          <w:rFonts w:ascii="宋体" w:hAnsi="宋体"/>
          <w:sz w:val="24"/>
        </w:rPr>
      </w:pPr>
      <w:r>
        <w:rPr>
          <w:rFonts w:hint="eastAsia" w:ascii="宋体" w:hAnsi="宋体"/>
          <w:sz w:val="24"/>
        </w:rPr>
        <w:t>服务地点</w:t>
      </w:r>
      <w:r>
        <w:rPr>
          <w:rFonts w:ascii="宋体" w:hAnsi="宋体"/>
          <w:sz w:val="24"/>
        </w:rPr>
        <w:t>：</w:t>
      </w:r>
      <w:r>
        <w:rPr>
          <w:rFonts w:hint="eastAsia" w:ascii="宋体" w:hAnsi="宋体"/>
          <w:sz w:val="24"/>
        </w:rPr>
        <w:t>采购人指定地点。</w:t>
      </w:r>
    </w:p>
    <w:p>
      <w:pPr>
        <w:pStyle w:val="11"/>
        <w:numPr>
          <w:ilvl w:val="0"/>
          <w:numId w:val="1"/>
        </w:numPr>
        <w:spacing w:line="360" w:lineRule="auto"/>
        <w:ind w:firstLineChars="0"/>
        <w:contextualSpacing/>
        <w:rPr>
          <w:rFonts w:ascii="宋体" w:hAnsi="宋体"/>
          <w:b/>
          <w:sz w:val="24"/>
          <w:szCs w:val="24"/>
        </w:rPr>
      </w:pPr>
      <w:r>
        <w:rPr>
          <w:rFonts w:ascii="宋体" w:hAnsi="宋体"/>
          <w:b/>
          <w:sz w:val="24"/>
          <w:szCs w:val="24"/>
        </w:rPr>
        <w:t>技术要求</w:t>
      </w:r>
    </w:p>
    <w:p>
      <w:pPr>
        <w:spacing w:line="360" w:lineRule="auto"/>
        <w:ind w:firstLine="482" w:firstLineChars="200"/>
        <w:contextualSpacing/>
        <w:rPr>
          <w:rFonts w:ascii="宋体" w:hAnsi="宋体"/>
          <w:b/>
          <w:sz w:val="24"/>
        </w:rPr>
      </w:pPr>
      <w:r>
        <w:rPr>
          <w:rFonts w:ascii="宋体" w:hAnsi="宋体"/>
          <w:b/>
          <w:sz w:val="24"/>
        </w:rPr>
        <w:t>1.基本要求</w:t>
      </w:r>
    </w:p>
    <w:p>
      <w:pPr>
        <w:spacing w:line="360" w:lineRule="auto"/>
        <w:ind w:firstLine="480" w:firstLineChars="200"/>
        <w:contextualSpacing/>
        <w:rPr>
          <w:rFonts w:ascii="宋体" w:hAnsi="宋体"/>
          <w:sz w:val="24"/>
        </w:rPr>
      </w:pPr>
      <w:r>
        <w:rPr>
          <w:rFonts w:ascii="宋体" w:hAnsi="宋体"/>
          <w:sz w:val="24"/>
        </w:rPr>
        <w:t>1.1 采购标的需实现的功能或者目标</w:t>
      </w:r>
    </w:p>
    <w:p>
      <w:pPr>
        <w:spacing w:line="360" w:lineRule="auto"/>
        <w:ind w:firstLine="480" w:firstLineChars="200"/>
        <w:contextualSpacing/>
        <w:rPr>
          <w:rFonts w:ascii="宋体" w:hAnsi="宋体"/>
          <w:sz w:val="24"/>
          <w:u w:val="single"/>
        </w:rPr>
      </w:pPr>
      <w:r>
        <w:rPr>
          <w:rFonts w:hint="eastAsia" w:ascii="宋体" w:hAnsi="宋体"/>
          <w:sz w:val="24"/>
          <w:u w:val="single"/>
        </w:rPr>
        <w:t>本次遴选采购是“202</w:t>
      </w:r>
      <w:r>
        <w:rPr>
          <w:rFonts w:hint="eastAsia" w:ascii="宋体" w:hAnsi="宋体"/>
          <w:sz w:val="24"/>
          <w:u w:val="single"/>
          <w:lang w:val="en-US" w:eastAsia="zh-CN"/>
        </w:rPr>
        <w:t>6</w:t>
      </w:r>
      <w:r>
        <w:rPr>
          <w:rFonts w:hint="eastAsia" w:ascii="宋体" w:hAnsi="宋体"/>
          <w:sz w:val="24"/>
          <w:u w:val="single"/>
        </w:rPr>
        <w:t>年互联网医院系统运维服务”，供应商应根据遴选文件所提出的服务要求，充分显示自己在服务方案、服务质量和服务价格等方面的竞争实力。</w:t>
      </w:r>
    </w:p>
    <w:p>
      <w:pPr>
        <w:spacing w:line="360" w:lineRule="auto"/>
        <w:ind w:firstLine="480" w:firstLineChars="200"/>
        <w:contextualSpacing/>
        <w:rPr>
          <w:rFonts w:ascii="宋体" w:hAnsi="宋体"/>
          <w:sz w:val="24"/>
        </w:rPr>
      </w:pPr>
      <w:r>
        <w:rPr>
          <w:rFonts w:ascii="宋体" w:hAnsi="宋体"/>
          <w:sz w:val="24"/>
        </w:rPr>
        <w:t>1.2 需执行的国家相关标准、行业标准、地方标准或者其他标准、规范</w:t>
      </w:r>
    </w:p>
    <w:p>
      <w:pPr>
        <w:spacing w:line="360" w:lineRule="auto"/>
        <w:ind w:firstLine="480" w:firstLineChars="200"/>
        <w:contextualSpacing/>
        <w:rPr>
          <w:rFonts w:ascii="宋体" w:hAnsi="宋体"/>
          <w:sz w:val="24"/>
          <w:u w:val="single"/>
        </w:rPr>
      </w:pPr>
      <w:r>
        <w:rPr>
          <w:rFonts w:hint="eastAsia" w:ascii="宋体" w:hAnsi="宋体"/>
          <w:sz w:val="24"/>
          <w:u w:val="single"/>
        </w:rPr>
        <w:t>供应商所提供的服务应符合国家有关部门规定的相应技术法规及标准要求。</w:t>
      </w:r>
    </w:p>
    <w:p>
      <w:pPr>
        <w:numPr>
          <w:ilvl w:val="0"/>
          <w:numId w:val="2"/>
        </w:numPr>
        <w:spacing w:line="360" w:lineRule="auto"/>
        <w:ind w:firstLine="482" w:firstLineChars="200"/>
        <w:contextualSpacing/>
        <w:rPr>
          <w:rFonts w:ascii="宋体" w:hAnsi="宋体" w:cs="宋体"/>
          <w:b/>
          <w:sz w:val="24"/>
        </w:rPr>
      </w:pPr>
      <w:r>
        <w:rPr>
          <w:rFonts w:hint="eastAsia" w:ascii="宋体" w:hAnsi="宋体" w:cs="宋体"/>
          <w:b/>
          <w:sz w:val="24"/>
        </w:rPr>
        <w:t>服务内容及要求</w:t>
      </w:r>
    </w:p>
    <w:p>
      <w:pPr>
        <w:spacing w:line="360" w:lineRule="auto"/>
        <w:ind w:firstLine="480" w:firstLineChars="200"/>
        <w:contextualSpacing/>
        <w:rPr>
          <w:rFonts w:ascii="宋体" w:hAnsi="宋体" w:cs="宋体"/>
          <w:sz w:val="24"/>
        </w:rPr>
      </w:pPr>
      <w:r>
        <w:rPr>
          <w:rFonts w:hint="eastAsia" w:ascii="宋体" w:hAnsi="宋体" w:cs="宋体"/>
          <w:sz w:val="24"/>
        </w:rPr>
        <w:t>为适应医院信息化发展趋势和的实际业务应用需求，要求供应商对医院互联网医院系统提供全面运维及技术支持服务，在医院现有互联网医院系统使用需求的基础上，兼顾今后此系统的长期稳定性和可管理性，在不影响现有医院互联网医院系统的正常工作下，</w:t>
      </w:r>
      <w:r>
        <w:rPr>
          <w:rFonts w:ascii="宋体" w:hAnsi="宋体" w:cs="宋体"/>
          <w:sz w:val="24"/>
        </w:rPr>
        <w:t>通过非现场服务及现场服务两种服务方式提供技术支持、故障处理、数据处理、服务保障、定期巡检等运维服务，实现各类数据持续汇聚与整合。</w:t>
      </w:r>
    </w:p>
    <w:p>
      <w:pPr>
        <w:spacing w:line="360" w:lineRule="auto"/>
        <w:ind w:firstLine="480" w:firstLineChars="200"/>
        <w:contextualSpacing/>
        <w:rPr>
          <w:rFonts w:ascii="宋体" w:hAnsi="宋体" w:cs="宋体"/>
          <w:sz w:val="24"/>
        </w:rPr>
      </w:pPr>
      <w:r>
        <w:rPr>
          <w:rFonts w:hint="eastAsia" w:ascii="宋体" w:hAnsi="宋体" w:cs="宋体"/>
          <w:sz w:val="24"/>
          <w:lang w:val="en-US" w:eastAsia="zh-CN"/>
        </w:rPr>
        <w:t>提供系统运维服务期限内所需要承担的三方费用如下：智能导诊服务费用、APP原生推送费用、AI报告解读token费用、IM音视频费用、实名认证费用、IOS开发者账号年费。</w:t>
      </w:r>
    </w:p>
    <w:p>
      <w:pPr>
        <w:spacing w:line="360" w:lineRule="auto"/>
        <w:ind w:firstLine="480" w:firstLineChars="200"/>
        <w:contextualSpacing/>
        <w:rPr>
          <w:rFonts w:ascii="宋体" w:hAnsi="宋体" w:cs="宋体"/>
          <w:sz w:val="24"/>
        </w:rPr>
      </w:pPr>
      <w:r>
        <w:rPr>
          <w:rFonts w:hint="eastAsia" w:ascii="宋体" w:hAnsi="宋体" w:cs="宋体"/>
          <w:sz w:val="24"/>
        </w:rPr>
        <w:t>2.1系统运维服务内容包括：</w:t>
      </w:r>
    </w:p>
    <w:p>
      <w:pPr>
        <w:adjustRightInd w:val="0"/>
        <w:snapToGrid w:val="0"/>
        <w:spacing w:line="360" w:lineRule="auto"/>
        <w:ind w:left="480"/>
        <w:jc w:val="left"/>
        <w:rPr>
          <w:rFonts w:ascii="宋体" w:hAnsi="宋体" w:cs="宋体"/>
          <w:sz w:val="24"/>
        </w:rPr>
      </w:pPr>
      <w:r>
        <w:rPr>
          <w:rFonts w:hint="eastAsia" w:ascii="宋体" w:hAnsi="宋体" w:cs="宋体"/>
          <w:sz w:val="24"/>
        </w:rPr>
        <w:t>2.1.1 互联网医院系统维护</w:t>
      </w:r>
    </w:p>
    <w:p>
      <w:pPr>
        <w:spacing w:line="360" w:lineRule="auto"/>
        <w:ind w:firstLine="480" w:firstLineChars="200"/>
        <w:contextualSpacing/>
        <w:rPr>
          <w:rFonts w:ascii="宋体" w:hAnsi="宋体" w:cs="宋体"/>
          <w:sz w:val="24"/>
        </w:rPr>
      </w:pPr>
      <w:r>
        <w:rPr>
          <w:rFonts w:hint="eastAsia" w:ascii="宋体" w:hAnsi="宋体" w:cs="宋体"/>
          <w:sz w:val="24"/>
        </w:rPr>
        <w:t>对本院互联网医院系统进行日常维护，主要包括：操作性错误导致数据出错的修正、应用程序 bug 的处理、提供 7x24 小时远程服务支持、应用程序使用指导、报表的数据纠错、每月检查数据库作业执行情况、每月检查数据库备份情况。</w:t>
      </w:r>
    </w:p>
    <w:p>
      <w:pPr>
        <w:spacing w:line="360" w:lineRule="auto"/>
        <w:ind w:firstLine="480" w:firstLineChars="200"/>
        <w:contextualSpacing/>
        <w:rPr>
          <w:rFonts w:ascii="宋体" w:hAnsi="宋体" w:cs="宋体"/>
          <w:sz w:val="24"/>
        </w:rPr>
      </w:pPr>
      <w:r>
        <w:rPr>
          <w:rFonts w:hint="eastAsia" w:ascii="宋体" w:hAnsi="宋体" w:cs="宋体"/>
          <w:sz w:val="24"/>
        </w:rPr>
        <w:t>提供数据交换运维服务，主要包括，保障现有已接入互联网医院系统的相关业务系统的数据通道，检查接入系统网络连通情况、数据采集核对处理、数据质量问题处理反馈。</w:t>
      </w:r>
    </w:p>
    <w:p>
      <w:pPr>
        <w:spacing w:line="360" w:lineRule="auto"/>
        <w:ind w:firstLine="480" w:firstLineChars="200"/>
        <w:contextualSpacing/>
        <w:rPr>
          <w:rFonts w:ascii="宋体" w:hAnsi="宋体"/>
          <w:sz w:val="24"/>
        </w:rPr>
      </w:pPr>
      <w:r>
        <w:rPr>
          <w:rFonts w:hint="eastAsia" w:ascii="宋体" w:hAnsi="宋体"/>
          <w:sz w:val="24"/>
        </w:rPr>
        <w:t>2.1.2</w:t>
      </w:r>
      <w:r>
        <w:rPr>
          <w:rFonts w:hint="eastAsia" w:ascii="宋体" w:hAnsi="宋体" w:cs="宋体"/>
          <w:sz w:val="24"/>
        </w:rPr>
        <w:t>日常维护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定期查看业务系统运行情况，询问业务人员系统操作情况，并进行跟踪处理。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年度数据库备份与清理，配合机房运维公司完成新年度数据有效备份，并对新年度系统冗余数据进行有效的整合和清洗。</w:t>
      </w:r>
    </w:p>
    <w:p>
      <w:pPr>
        <w:spacing w:line="360" w:lineRule="auto"/>
        <w:ind w:firstLine="480" w:firstLineChars="200"/>
        <w:contextualSpacing/>
        <w:rPr>
          <w:rFonts w:ascii="宋体" w:hAnsi="宋体"/>
          <w:sz w:val="24"/>
        </w:rPr>
      </w:pPr>
      <w:r>
        <w:rPr>
          <w:rFonts w:hint="eastAsia" w:ascii="宋体" w:hAnsi="宋体"/>
          <w:sz w:val="24"/>
        </w:rPr>
        <w:t>2.1.3</w:t>
      </w:r>
      <w:r>
        <w:rPr>
          <w:rFonts w:hint="eastAsia" w:ascii="宋体" w:hAnsi="宋体" w:cs="宋体"/>
          <w:sz w:val="24"/>
        </w:rPr>
        <w:t>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操作性错误导致数据出错的修正。</w:t>
      </w:r>
    </w:p>
    <w:p>
      <w:pPr>
        <w:spacing w:line="360" w:lineRule="auto"/>
        <w:ind w:firstLine="480" w:firstLineChars="200"/>
        <w:jc w:val="left"/>
        <w:rPr>
          <w:rFonts w:hint="eastAsia" w:ascii="宋体" w:hAnsi="宋体" w:cs="宋体"/>
          <w:sz w:val="24"/>
        </w:rPr>
      </w:pPr>
      <w:r>
        <w:rPr>
          <w:rFonts w:hint="eastAsia" w:ascii="宋体" w:hAnsi="宋体"/>
          <w:sz w:val="24"/>
        </w:rPr>
        <w:t>2.1.4</w:t>
      </w:r>
      <w:r>
        <w:rPr>
          <w:rFonts w:hint="eastAsia" w:ascii="宋体" w:hAnsi="宋体" w:cs="宋体"/>
          <w:sz w:val="24"/>
        </w:rPr>
        <w:t>维护范围</w:t>
      </w:r>
    </w:p>
    <w:tbl>
      <w:tblPr>
        <w:tblStyle w:val="8"/>
        <w:tblpPr w:leftFromText="180" w:rightFromText="180" w:vertAnchor="text" w:horzAnchor="page" w:tblpXSpec="center" w:tblpY="617"/>
        <w:tblOverlap w:val="never"/>
        <w:tblW w:w="4998" w:type="pct"/>
        <w:jc w:val="center"/>
        <w:tblLayout w:type="autofit"/>
        <w:tblCellMar>
          <w:top w:w="0" w:type="dxa"/>
          <w:left w:w="108" w:type="dxa"/>
          <w:bottom w:w="0" w:type="dxa"/>
          <w:right w:w="108" w:type="dxa"/>
        </w:tblCellMar>
      </w:tblPr>
      <w:tblGrid>
        <w:gridCol w:w="658"/>
        <w:gridCol w:w="709"/>
        <w:gridCol w:w="850"/>
        <w:gridCol w:w="912"/>
        <w:gridCol w:w="5390"/>
      </w:tblGrid>
      <w:tr>
        <w:tblPrEx>
          <w:tblCellMar>
            <w:top w:w="0" w:type="dxa"/>
            <w:left w:w="108" w:type="dxa"/>
            <w:bottom w:w="0" w:type="dxa"/>
            <w:right w:w="108" w:type="dxa"/>
          </w:tblCellMar>
        </w:tblPrEx>
        <w:trPr>
          <w:trHeight w:val="103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序号</w:t>
            </w:r>
          </w:p>
        </w:tc>
        <w:tc>
          <w:tcPr>
            <w:tcW w:w="915"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系统模块</w:t>
            </w:r>
          </w:p>
        </w:tc>
        <w:tc>
          <w:tcPr>
            <w:tcW w:w="3698"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bidi="ar"/>
              </w:rPr>
              <w:t>功能模块及描述</w:t>
            </w:r>
          </w:p>
        </w:tc>
      </w:tr>
      <w:tr>
        <w:tblPrEx>
          <w:tblCellMar>
            <w:top w:w="0" w:type="dxa"/>
            <w:left w:w="108" w:type="dxa"/>
            <w:bottom w:w="0" w:type="dxa"/>
            <w:right w:w="108" w:type="dxa"/>
          </w:tblCellMar>
        </w:tblPrEx>
        <w:trPr>
          <w:trHeight w:val="12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w:t>
            </w:r>
          </w:p>
        </w:tc>
        <w:tc>
          <w:tcPr>
            <w:tcW w:w="416"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互联网诊疗</w:t>
            </w:r>
          </w:p>
        </w:tc>
        <w:tc>
          <w:tcPr>
            <w:tcW w:w="49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一、患者端</w:t>
            </w: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1.在线咨询</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1.1患者可在线选择线上咨询科室，可通过在线咨询功能向医生提出医疗相关问题。医生在在业务时间对患者所提出的问题进行解答。</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1.2患者在线咨询医生，可支持图文等多种咨询方式。</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1.3患者在线预约医生的线上咨询服务支持免费咨询及收费咨询。</w:t>
            </w:r>
          </w:p>
        </w:tc>
      </w:tr>
      <w:tr>
        <w:tblPrEx>
          <w:tblCellMar>
            <w:top w:w="0" w:type="dxa"/>
            <w:left w:w="108" w:type="dxa"/>
            <w:bottom w:w="0" w:type="dxa"/>
            <w:right w:w="108" w:type="dxa"/>
          </w:tblCellMar>
        </w:tblPrEx>
        <w:trPr>
          <w:trHeight w:val="27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4</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2.线上复诊</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2.1患者通过App、小程序渠道首页点击“线上复诊”按钮进入。患者在进入线上复诊功能页面后，App、小程序系统将与HIS进行交互，查询该患者历史就诊记录，对在医院规定期限内有过线下门诊记录的患者开放线上复诊资格。通过HIS查询患者如不符合互联网诊疗监管平台标准的信息，引导患者补充信息。</w:t>
            </w:r>
          </w:p>
        </w:tc>
      </w:tr>
      <w:tr>
        <w:tblPrEx>
          <w:tblCellMar>
            <w:top w:w="0" w:type="dxa"/>
            <w:left w:w="108" w:type="dxa"/>
            <w:bottom w:w="0" w:type="dxa"/>
            <w:right w:w="108" w:type="dxa"/>
          </w:tblCellMar>
        </w:tblPrEx>
        <w:trPr>
          <w:trHeight w:val="79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2.2线上复诊可对患者进行风险提示，获得患者的知情同意。</w:t>
            </w:r>
          </w:p>
        </w:tc>
      </w:tr>
      <w:tr>
        <w:tblPrEx>
          <w:tblCellMar>
            <w:top w:w="0" w:type="dxa"/>
            <w:left w:w="108" w:type="dxa"/>
            <w:bottom w:w="0" w:type="dxa"/>
            <w:right w:w="108" w:type="dxa"/>
          </w:tblCellMar>
        </w:tblPrEx>
        <w:trPr>
          <w:trHeight w:val="9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2.3对于拥有线上复诊资格的患者，可以查看到线上复诊号源，(全院所有科室关联，开放复诊权限)通过一、二级科室及号源日期维度进行筛选，完成线上复诊号源预约及当日号源预约操作。在支付线上复诊号源费用前，患者需要对自身的病情进行描述，上传历史病历资料，以便医生问诊前对患者情况进行了解。</w:t>
            </w:r>
          </w:p>
        </w:tc>
      </w:tr>
      <w:tr>
        <w:tblPrEx>
          <w:tblCellMar>
            <w:top w:w="0" w:type="dxa"/>
            <w:left w:w="108" w:type="dxa"/>
            <w:bottom w:w="0" w:type="dxa"/>
            <w:right w:w="108" w:type="dxa"/>
          </w:tblCellMar>
        </w:tblPrEx>
        <w:trPr>
          <w:trHeight w:val="142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7</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2.4即将到达就诊时间前，App、小程序渠道将通过线上</w:t>
            </w:r>
            <w:r>
              <w:rPr>
                <w:rFonts w:hint="eastAsia" w:asciiTheme="minorEastAsia" w:hAnsiTheme="minorEastAsia" w:eastAsiaTheme="minorEastAsia" w:cstheme="minorEastAsia"/>
                <w:i/>
                <w:iCs/>
                <w:color w:val="000000"/>
                <w:sz w:val="21"/>
                <w:szCs w:val="21"/>
                <w:lang w:bidi="ar"/>
              </w:rPr>
              <w:t>提</w:t>
            </w:r>
            <w:r>
              <w:rPr>
                <w:rFonts w:hint="eastAsia" w:asciiTheme="minorEastAsia" w:hAnsiTheme="minorEastAsia" w:eastAsiaTheme="minorEastAsia" w:cstheme="minorEastAsia"/>
                <w:color w:val="000000"/>
                <w:sz w:val="21"/>
                <w:szCs w:val="21"/>
                <w:lang w:bidi="ar"/>
              </w:rPr>
              <w:t>醒方式（短信、小程序推送等多途径）对患者进行就诊。开始就诊后，由医生发起就诊，患者接受就诊邀请。</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8</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2.5就诊过程中，患者可通过图文、视频的方式与医生进行交流（同时可查询缴费、候诊等流程的进度），就诊结束后进行药品或检查项目的支付环节。</w:t>
            </w:r>
          </w:p>
        </w:tc>
      </w:tr>
      <w:tr>
        <w:tblPrEx>
          <w:tblCellMar>
            <w:top w:w="0" w:type="dxa"/>
            <w:left w:w="108" w:type="dxa"/>
            <w:bottom w:w="0" w:type="dxa"/>
            <w:right w:w="108" w:type="dxa"/>
          </w:tblCellMar>
        </w:tblPrEx>
        <w:trPr>
          <w:trHeight w:val="112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9</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2.6患者在线进行在线复诊退号，校验患者是否可以进行退号，医事服务费可按照缴费路径退回。</w:t>
            </w:r>
          </w:p>
        </w:tc>
      </w:tr>
      <w:tr>
        <w:tblPrEx>
          <w:tblCellMar>
            <w:top w:w="0" w:type="dxa"/>
            <w:left w:w="108" w:type="dxa"/>
            <w:bottom w:w="0" w:type="dxa"/>
            <w:right w:w="108" w:type="dxa"/>
          </w:tblCellMar>
        </w:tblPrEx>
        <w:trPr>
          <w:trHeight w:val="79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10</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2.6医生停诊，系统自动退号，医事服务费可按照缴费路径退回（HIS排班、停诊，停诊后发送停诊通知）</w:t>
            </w:r>
          </w:p>
        </w:tc>
      </w:tr>
      <w:tr>
        <w:tblPrEx>
          <w:tblCellMar>
            <w:top w:w="0" w:type="dxa"/>
            <w:left w:w="108" w:type="dxa"/>
            <w:bottom w:w="0" w:type="dxa"/>
            <w:right w:w="108" w:type="dxa"/>
          </w:tblCellMar>
        </w:tblPrEx>
        <w:trPr>
          <w:trHeight w:val="24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3.复诊续方</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Style w:val="12"/>
                <w:rFonts w:hint="default" w:asciiTheme="minorEastAsia" w:hAnsiTheme="minorEastAsia" w:eastAsiaTheme="minorEastAsia" w:cstheme="minorEastAsia"/>
                <w:sz w:val="21"/>
                <w:szCs w:val="21"/>
                <w:lang w:bidi="ar"/>
              </w:rPr>
              <w:t>支持患者身份判断后（判断规则与医院沟通，目前按评审规则），满足互联网诊疗就诊资格的患者，通过图文、视频的方式完成复诊，由HIS为慢性病或常见病患者开具处方，电子处方医患均可见，同时处方带有CA认证的电子签名，同步医院医生相关信息。</w:t>
            </w:r>
          </w:p>
        </w:tc>
      </w:tr>
      <w:tr>
        <w:tblPrEx>
          <w:tblCellMar>
            <w:top w:w="0" w:type="dxa"/>
            <w:left w:w="108" w:type="dxa"/>
            <w:bottom w:w="0" w:type="dxa"/>
            <w:right w:w="108" w:type="dxa"/>
          </w:tblCellMar>
        </w:tblPrEx>
        <w:trPr>
          <w:trHeight w:val="62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4.诊前报到</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Style w:val="12"/>
                <w:rFonts w:hint="default" w:asciiTheme="minorEastAsia" w:hAnsiTheme="minorEastAsia" w:eastAsiaTheme="minorEastAsia" w:cstheme="minorEastAsia"/>
                <w:sz w:val="21"/>
                <w:szCs w:val="21"/>
                <w:lang w:bidi="ar"/>
              </w:rPr>
              <w:t>复诊患者在就诊前进入诊室报到，等待医生接诊。</w:t>
            </w:r>
          </w:p>
        </w:tc>
      </w:tr>
      <w:tr>
        <w:tblPrEx>
          <w:tblCellMar>
            <w:top w:w="0" w:type="dxa"/>
            <w:left w:w="108" w:type="dxa"/>
            <w:bottom w:w="0" w:type="dxa"/>
            <w:right w:w="108" w:type="dxa"/>
          </w:tblCellMar>
        </w:tblPrEx>
        <w:trPr>
          <w:trHeight w:val="18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5.诊间支付</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Style w:val="12"/>
                <w:rFonts w:hint="default" w:asciiTheme="minorEastAsia" w:hAnsiTheme="minorEastAsia" w:eastAsiaTheme="minorEastAsia" w:cstheme="minorEastAsia"/>
                <w:sz w:val="21"/>
                <w:szCs w:val="21"/>
                <w:lang w:bidi="ar"/>
              </w:rPr>
              <w:t>医生通过互联网医院为患者开具检查单、检验单及处方，自费患者可在线缴费，随着后续医保在线分解政策放开，同步支持医保患者在线分解缴费。获得缴费清单。结算方式为常用结算方式，如微信、支付宝等。</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14</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6.患者知情同意</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Style w:val="12"/>
                <w:rFonts w:hint="default" w:asciiTheme="minorEastAsia" w:hAnsiTheme="minorEastAsia" w:eastAsiaTheme="minorEastAsia" w:cstheme="minorEastAsia"/>
                <w:sz w:val="21"/>
                <w:szCs w:val="21"/>
                <w:lang w:bidi="ar"/>
              </w:rPr>
              <w:t>各场景风险提示，知情同意告知，患者知悉并同意知情同意书。</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15</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7.医师服务费线上医保分解</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Style w:val="12"/>
                <w:rFonts w:hint="default" w:asciiTheme="minorEastAsia" w:hAnsiTheme="minorEastAsia" w:eastAsiaTheme="minorEastAsia" w:cstheme="minorEastAsia"/>
                <w:sz w:val="21"/>
                <w:szCs w:val="21"/>
                <w:lang w:bidi="ar"/>
              </w:rPr>
              <w:t>根据当前北京地区互联网医院医保结算政策，可开放线上复诊患者医事服务费医保在线分解。</w:t>
            </w:r>
          </w:p>
        </w:tc>
      </w:tr>
      <w:tr>
        <w:tblPrEx>
          <w:tblCellMar>
            <w:top w:w="0" w:type="dxa"/>
            <w:left w:w="108" w:type="dxa"/>
            <w:bottom w:w="0" w:type="dxa"/>
            <w:right w:w="108" w:type="dxa"/>
          </w:tblCellMar>
        </w:tblPrEx>
        <w:trPr>
          <w:trHeight w:val="2204"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16</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8.物流配送</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与京东、顺丰、EMS物流达成战略合作，共同为北京地区医院提供医疗场景配送服务。互联网智慧医院业务内，支持根据医院需求完成药品物流配送服务，通过线上下单、线下配送方式，减少患者院内往返、等候的时间，通过物流业务加快患者院内流转效率。</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17</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9.电子病历查看</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对接院内病历系统，可在线查看病历（线上、线下互通）。</w:t>
            </w:r>
          </w:p>
        </w:tc>
      </w:tr>
      <w:tr>
        <w:tblPrEx>
          <w:tblCellMar>
            <w:top w:w="0" w:type="dxa"/>
            <w:left w:w="108" w:type="dxa"/>
            <w:bottom w:w="0" w:type="dxa"/>
            <w:right w:w="108" w:type="dxa"/>
          </w:tblCellMar>
        </w:tblPrEx>
        <w:trPr>
          <w:trHeight w:val="14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18</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10.实名认证</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患者使用App医疗服务功能时，需要通过身份证号的实名认证服务，同时一个账号下可绑定多个就诊人，按照上级要求进行患者实名认证，并按要求不断改进。</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19</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11.线上复诊满意度调查</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根据患者在线复诊记录，推送在线复诊满意度调查，患者在线完成在线复诊满意度调查问卷填写。</w:t>
            </w:r>
          </w:p>
        </w:tc>
      </w:tr>
      <w:tr>
        <w:tblPrEx>
          <w:tblCellMar>
            <w:top w:w="0" w:type="dxa"/>
            <w:left w:w="108" w:type="dxa"/>
            <w:bottom w:w="0" w:type="dxa"/>
            <w:right w:w="108" w:type="dxa"/>
          </w:tblCellMar>
        </w:tblPrEx>
        <w:trPr>
          <w:trHeight w:val="15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20</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12.线上信息查询</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患者可通过App、小程序渠道查询复诊记录、复诊费用清单、复诊处方、药品订单、物流信息等上述进行实时查询，患者可清晰了解到完整的治疗链路。减少工作人员解答压力。</w:t>
            </w:r>
          </w:p>
        </w:tc>
      </w:tr>
      <w:tr>
        <w:tblPrEx>
          <w:tblCellMar>
            <w:top w:w="0" w:type="dxa"/>
            <w:left w:w="108" w:type="dxa"/>
            <w:bottom w:w="0" w:type="dxa"/>
            <w:right w:w="108" w:type="dxa"/>
          </w:tblCellMar>
        </w:tblPrEx>
        <w:trPr>
          <w:trHeight w:val="1915"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21</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13.其他功能</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13.1在互联网线上复诊业务流程中，落实实名认证、短信提醒等功能。实名认证在于用户添加就诊人时进行身份校验时使用，对于没有准确填写身份信息的患者，依据实名认证校验的结果拦截患者添加就诊人操作，并在前端给予对应文案提示。（电子诊断证明的由互联网医院申请开具，同步给电子病历）</w:t>
            </w:r>
          </w:p>
        </w:tc>
      </w:tr>
      <w:tr>
        <w:tblPrEx>
          <w:tblCellMar>
            <w:top w:w="0" w:type="dxa"/>
            <w:left w:w="108" w:type="dxa"/>
            <w:bottom w:w="0" w:type="dxa"/>
            <w:right w:w="108" w:type="dxa"/>
          </w:tblCellMar>
        </w:tblPrEx>
        <w:trPr>
          <w:trHeight w:val="1063"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13.2短信通知在于互联网线上复诊业务流程发生业务变更等情况时，对患者进行短信通知，并支持应用于短信验证场景中使用。</w:t>
            </w:r>
          </w:p>
        </w:tc>
      </w:tr>
      <w:tr>
        <w:tblPrEx>
          <w:tblCellMar>
            <w:top w:w="0" w:type="dxa"/>
            <w:left w:w="108" w:type="dxa"/>
            <w:bottom w:w="0" w:type="dxa"/>
            <w:right w:w="108" w:type="dxa"/>
          </w:tblCellMar>
        </w:tblPrEx>
        <w:trPr>
          <w:trHeight w:val="15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二、医生端</w:t>
            </w: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1.在线咨询</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1.1医生在业余时间，通过App端渠道对患者所提出的问题进行回复。医院安排全科/方便门诊医院服务患者，医生通过后台抢单的方式对患者提交的问题、上传的病历提供解答服务。</w:t>
            </w:r>
          </w:p>
        </w:tc>
      </w:tr>
      <w:tr>
        <w:tblPrEx>
          <w:tblCellMar>
            <w:top w:w="0" w:type="dxa"/>
            <w:left w:w="108" w:type="dxa"/>
            <w:bottom w:w="0" w:type="dxa"/>
            <w:right w:w="108" w:type="dxa"/>
          </w:tblCellMar>
        </w:tblPrEx>
        <w:trPr>
          <w:trHeight w:val="1073"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24</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1.2免费咨询功能使用图文+语音的方式进行沟通，操作方式与微信沟通方式类似，满足患者沟通的差异化需求。</w:t>
            </w:r>
          </w:p>
        </w:tc>
      </w:tr>
      <w:tr>
        <w:tblPrEx>
          <w:tblCellMar>
            <w:top w:w="0" w:type="dxa"/>
            <w:left w:w="108" w:type="dxa"/>
            <w:bottom w:w="0" w:type="dxa"/>
            <w:right w:w="108" w:type="dxa"/>
          </w:tblCellMar>
        </w:tblPrEx>
        <w:trPr>
          <w:trHeight w:val="3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25</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2、线上复诊</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2.1医生通过App端渠道进行开展线上复诊工作。医生登录App后进入“我的诊室”可以查看到患者预约情况，订单状态分为待报到、待接诊、问诊中、已结束四种。待报到状态为患者已预约本就诊单元但未进行在线签到的患者；待接诊状态为本就诊单元已完成在线签到（待就诊）的患者；问诊中为已点击接诊的患者，系统支持医生使用图文方式对多个患者同时接诊，视频问诊仅支持一对一接诊；已结束为已完成线上复诊的订单列表。（须同时支持网页版及手机端进行）</w:t>
            </w:r>
          </w:p>
        </w:tc>
      </w:tr>
      <w:tr>
        <w:tblPrEx>
          <w:tblCellMar>
            <w:top w:w="0" w:type="dxa"/>
            <w:left w:w="108" w:type="dxa"/>
            <w:bottom w:w="0" w:type="dxa"/>
            <w:right w:w="108" w:type="dxa"/>
          </w:tblCellMar>
        </w:tblPrEx>
        <w:trPr>
          <w:trHeight w:val="1374"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26</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2.2医生在接诊之前，可以点击查看患者信息，即患者在预约挂号时提交的病情描述及检查检验报告，便于医生在接诊之前对患者情况进行初步了解。</w:t>
            </w:r>
          </w:p>
        </w:tc>
      </w:tr>
      <w:tr>
        <w:tblPrEx>
          <w:tblCellMar>
            <w:top w:w="0" w:type="dxa"/>
            <w:left w:w="108" w:type="dxa"/>
            <w:bottom w:w="0" w:type="dxa"/>
            <w:right w:w="108" w:type="dxa"/>
          </w:tblCellMar>
        </w:tblPrEx>
        <w:trPr>
          <w:trHeight w:val="67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27</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2.3在待接诊列表中，医生点击“接诊”按钮进入问诊阶段等待患者进入对话窗口。</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28</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2.4问诊过程中视频通话功能，仅支持医生主动发起发起，医生自行判断就诊过程中是否需要视频通话。</w:t>
            </w:r>
          </w:p>
        </w:tc>
      </w:tr>
      <w:tr>
        <w:trPr>
          <w:trHeight w:val="3401"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29</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3.复诊开方</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3.1医生进行线上复诊过程中，支持通过App渠道对患者进行在线开方，同时支持App端双工作站方式开展工作。线上开方线上开方药品库根据互联网智慧医院政策规定，对毒、麻类药品进行限制，除政策规定的互联网智慧医院禁用药品外，与线下保持一致，同时医生操作方式与线下门诊操作方式保持一致，保持医生添加药品、检查、检验时的操作习惯，减少医生学习成本。完成处方开具后，将药品处方流转给药师或合理用药系统进行审核。</w:t>
            </w:r>
          </w:p>
        </w:tc>
      </w:tr>
      <w:tr>
        <w:tblPrEx>
          <w:tblCellMar>
            <w:top w:w="0" w:type="dxa"/>
            <w:left w:w="108" w:type="dxa"/>
            <w:bottom w:w="0" w:type="dxa"/>
            <w:right w:w="108" w:type="dxa"/>
          </w:tblCellMar>
        </w:tblPrEx>
        <w:trPr>
          <w:trHeight w:val="21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3.2医生在进行线上复诊的过程中，可在App端查看该患者的历史就诊情况，包括病历、处方、检查/检验报告等信息，为医生提供诊断参考。App端以时间轴的方式进行展示，医生可以查看该患者的就诊链路、康复过程等信息，全面了解患者病情。</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31</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3.3将互联网开具的检查单、检验单同步到APP医生端和患者端，医生可看到患者既往检查检验单。</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4.病历同步</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医生可在互联网医院为患者写病历，并同步线上（传给病人电子病历）。（APP端网页版也可书写病历及同步）</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5.药师咨询</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医生可通过移动端免费向患者解答药学相关问题。</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34</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6.电子验签</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6.1在线上复诊功能中，调用医院电子验签能力，为医生诊断、处方等环节添加电子验签功能。</w:t>
            </w:r>
          </w:p>
        </w:tc>
      </w:tr>
      <w:tr>
        <w:tblPrEx>
          <w:tblCellMar>
            <w:top w:w="0" w:type="dxa"/>
            <w:left w:w="108" w:type="dxa"/>
            <w:bottom w:w="0" w:type="dxa"/>
            <w:right w:w="108" w:type="dxa"/>
          </w:tblCellMar>
        </w:tblPrEx>
        <w:trPr>
          <w:trHeight w:val="817"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35</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6.2医生可在线上传资格证明、执业证书、身份信息等内容，提交至平台进行审核。</w:t>
            </w:r>
          </w:p>
        </w:tc>
      </w:tr>
      <w:tr>
        <w:tblPrEx>
          <w:tblCellMar>
            <w:top w:w="0" w:type="dxa"/>
            <w:left w:w="108" w:type="dxa"/>
            <w:bottom w:w="0" w:type="dxa"/>
            <w:right w:w="108" w:type="dxa"/>
          </w:tblCellMar>
        </w:tblPrEx>
        <w:trPr>
          <w:trHeight w:val="12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36</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7.其他功能</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支持在线建立医患管理关系，方便医生管理患者，更好的帮助医生跟踪患者病情。有患者状态列表（已接诊、进行中、未完成、已完成等</w:t>
            </w:r>
            <w:r>
              <w:rPr>
                <w:rStyle w:val="12"/>
                <w:rFonts w:hint="default" w:asciiTheme="minorEastAsia" w:hAnsiTheme="minorEastAsia" w:eastAsiaTheme="minorEastAsia" w:cstheme="minorEastAsia"/>
                <w:sz w:val="21"/>
                <w:szCs w:val="21"/>
                <w:lang w:bidi="ar"/>
              </w:rPr>
              <w:t>）</w:t>
            </w:r>
            <w:r>
              <w:rPr>
                <w:rFonts w:hint="eastAsia" w:asciiTheme="minorEastAsia" w:hAnsiTheme="minorEastAsia" w:eastAsiaTheme="minorEastAsia" w:cstheme="minorEastAsia"/>
                <w:color w:val="000000"/>
                <w:sz w:val="21"/>
                <w:szCs w:val="21"/>
                <w:lang w:bidi="ar"/>
              </w:rPr>
              <w:t>。</w:t>
            </w:r>
          </w:p>
        </w:tc>
      </w:tr>
      <w:tr>
        <w:tblPrEx>
          <w:tblCellMar>
            <w:top w:w="0" w:type="dxa"/>
            <w:left w:w="108" w:type="dxa"/>
            <w:bottom w:w="0" w:type="dxa"/>
            <w:right w:w="108" w:type="dxa"/>
          </w:tblCellMar>
        </w:tblPrEx>
        <w:trPr>
          <w:trHeight w:val="54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37</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三、管理端</w:t>
            </w: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1.互联网诊疗相关数据同步</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1.1完成监管平台数据的对接要求。</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38</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1.2提供针对互联网线上复诊所需的一体机、摄像头、打印机等硬件设施。</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39</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1.3提供针对互联网线上复诊接口对接服务1套。</w:t>
            </w:r>
          </w:p>
        </w:tc>
      </w:tr>
      <w:tr>
        <w:tblPrEx>
          <w:tblCellMar>
            <w:top w:w="0" w:type="dxa"/>
            <w:left w:w="108" w:type="dxa"/>
            <w:bottom w:w="0" w:type="dxa"/>
            <w:right w:w="108" w:type="dxa"/>
          </w:tblCellMar>
        </w:tblPrEx>
        <w:trPr>
          <w:trHeight w:val="21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40</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2.医生排班</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管理部门可通过管理端PC后台查看科室信息、医生信息及线上复诊医生的出诊情况。线上复诊排班数据通过HIS系统进行全量获取，管理部门可通过后台查看出诊情况，并通过HIS对医生排班、停诊等进行操作，便于管理部门对线上复诊业务进行统一管理。</w:t>
            </w:r>
          </w:p>
        </w:tc>
      </w:tr>
      <w:tr>
        <w:tblPrEx>
          <w:tblCellMar>
            <w:top w:w="0" w:type="dxa"/>
            <w:left w:w="108" w:type="dxa"/>
            <w:bottom w:w="0" w:type="dxa"/>
            <w:right w:w="108" w:type="dxa"/>
          </w:tblCellMar>
        </w:tblPrEx>
        <w:trPr>
          <w:trHeight w:val="12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41</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3.业务配置工具</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支持对App、小程序端的公告、预约规则、就诊规则、热门科室、热门医生等业务的配置。医院可通过业务配置工具实现统一配置管理。</w:t>
            </w:r>
          </w:p>
        </w:tc>
      </w:tr>
      <w:tr>
        <w:tblPrEx>
          <w:tblCellMar>
            <w:top w:w="0" w:type="dxa"/>
            <w:left w:w="108" w:type="dxa"/>
            <w:bottom w:w="0" w:type="dxa"/>
            <w:right w:w="108" w:type="dxa"/>
          </w:tblCellMar>
        </w:tblPrEx>
        <w:trPr>
          <w:trHeight w:val="124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4.业务查询</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管理部门可通过管理端PC后台可查看线上复诊各项业务情况，如预约记录、患者查询、满意度管理、退费情况等。</w:t>
            </w:r>
          </w:p>
        </w:tc>
      </w:tr>
      <w:tr>
        <w:tblPrEx>
          <w:tblCellMar>
            <w:top w:w="0" w:type="dxa"/>
            <w:left w:w="108" w:type="dxa"/>
            <w:bottom w:w="0" w:type="dxa"/>
            <w:right w:w="108" w:type="dxa"/>
          </w:tblCellMar>
        </w:tblPrEx>
        <w:trPr>
          <w:trHeight w:val="12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5.就诊记录</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管理部门可通过管理端PC后台可查看线上复诊过程中的就诊信息，如患者与医生的沟通图文信息、视频回放、处方订单、病历、配送情况等。</w:t>
            </w:r>
          </w:p>
        </w:tc>
      </w:tr>
      <w:tr>
        <w:tblPrEx>
          <w:tblCellMar>
            <w:top w:w="0" w:type="dxa"/>
            <w:left w:w="108" w:type="dxa"/>
            <w:bottom w:w="0" w:type="dxa"/>
            <w:right w:w="108" w:type="dxa"/>
          </w:tblCellMar>
        </w:tblPrEx>
        <w:trPr>
          <w:trHeight w:val="9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44</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6.退费管理</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管理端PC后台支持对线上复诊产生的医事服务费、药品处方等业务订单进行退费操作。</w:t>
            </w:r>
          </w:p>
        </w:tc>
      </w:tr>
      <w:tr>
        <w:tblPrEx>
          <w:tblCellMar>
            <w:top w:w="0" w:type="dxa"/>
            <w:left w:w="108" w:type="dxa"/>
            <w:bottom w:w="0" w:type="dxa"/>
            <w:right w:w="108" w:type="dxa"/>
          </w:tblCellMar>
        </w:tblPrEx>
        <w:trPr>
          <w:trHeight w:val="6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45</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7.其他功能</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在管理端操作流程增加短信验证功能，从而为登录环节增加安全保障。</w:t>
            </w:r>
          </w:p>
        </w:tc>
      </w:tr>
      <w:tr>
        <w:tblPrEx>
          <w:tblCellMar>
            <w:top w:w="0" w:type="dxa"/>
            <w:left w:w="108" w:type="dxa"/>
            <w:bottom w:w="0" w:type="dxa"/>
            <w:right w:w="108" w:type="dxa"/>
          </w:tblCellMar>
        </w:tblPrEx>
        <w:trPr>
          <w:trHeight w:val="133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46</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8.账号分权</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支持对管理后台添加子账号，并可设置账号查看权限，根据职务、科室等维度设置分类，开通账号的同时留存账号所有者信息，保证账号归属权落实到人。</w:t>
            </w:r>
          </w:p>
        </w:tc>
      </w:tr>
      <w:tr>
        <w:tblPrEx>
          <w:tblCellMar>
            <w:top w:w="0" w:type="dxa"/>
            <w:left w:w="108" w:type="dxa"/>
            <w:bottom w:w="0" w:type="dxa"/>
            <w:right w:w="108" w:type="dxa"/>
          </w:tblCellMar>
        </w:tblPrEx>
        <w:trPr>
          <w:trHeight w:val="1245"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47</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四、业务管理工具</w:t>
            </w:r>
          </w:p>
        </w:tc>
        <w:tc>
          <w:tcPr>
            <w:tcW w:w="535"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1.对账工具</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1.1支持在互联网智慧医院APP平台中生产的账单进行对账，包括三方自动对账、两方自动对账、当日对账、单边账、异常账单、统计分析，自动对账异常提醒。</w:t>
            </w:r>
          </w:p>
        </w:tc>
      </w:tr>
      <w:tr>
        <w:tblPrEx>
          <w:tblCellMar>
            <w:top w:w="0" w:type="dxa"/>
            <w:left w:w="108" w:type="dxa"/>
            <w:bottom w:w="0" w:type="dxa"/>
            <w:right w:w="108" w:type="dxa"/>
          </w:tblCellMar>
        </w:tblPrEx>
        <w:trPr>
          <w:trHeight w:val="1932"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48</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1.2三方自动对账：统一支付平台一方面根据账户配置，每日定时下载支付渠道账单，同时HIS系统通过接口或文件方式给出账单后。对账平台会自动对每一笔账单根据对账对接要求进行核对，自动完成相关的核对工作。</w:t>
            </w:r>
          </w:p>
        </w:tc>
      </w:tr>
      <w:tr>
        <w:tblPrEx>
          <w:tblCellMar>
            <w:top w:w="0" w:type="dxa"/>
            <w:left w:w="108" w:type="dxa"/>
            <w:bottom w:w="0" w:type="dxa"/>
            <w:right w:w="108" w:type="dxa"/>
          </w:tblCellMar>
        </w:tblPrEx>
        <w:trPr>
          <w:trHeight w:val="479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49</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1.3两方自动对账：系统每日会进行三方对账，三方对账的主要目的是为了检验HIS、平台、支付机构的资金一致性，而两方对账则是出于系统安全性考虑，设计的必要模块，防止系统资金出现大漏洞的安全设计; 用户在完成支付行为后，由统一支付平台处理后，将支付结果告知HIS，而此处可能存在一个资金漏洞即：用户发起支付行为后，实际资金并未到达相应的支付机构的银行账户中，而支付平台却收到支付成功的通知并将错误的结果告知了HIS。此时就会出现较大的资金损失，为了避免这种损失，处于安全角度的考量，统一对账平台设立每日自动两方对账模块，核对统一支付平台的资金与支付机构的资金的准确性。</w:t>
            </w:r>
          </w:p>
        </w:tc>
      </w:tr>
      <w:tr>
        <w:tblPrEx>
          <w:tblCellMar>
            <w:top w:w="0" w:type="dxa"/>
            <w:left w:w="108" w:type="dxa"/>
            <w:bottom w:w="0" w:type="dxa"/>
            <w:right w:w="108" w:type="dxa"/>
          </w:tblCellMar>
        </w:tblPrEx>
        <w:trPr>
          <w:trHeight w:val="27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50</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1.4单边账: 此功能模块仅用于当天冲正使用，只限于当天使用，需要根据流水号或者渠道交易流水号进行查询，对于异常数据可以直接进行退款操作。单边账作为异常账单的独立模块，突出展示当日交易中存在的异常数据，是给相关管理人员提供的快捷功能入口，方便实时查询处理交易异常数据。</w:t>
            </w:r>
          </w:p>
        </w:tc>
      </w:tr>
      <w:tr>
        <w:tblPrEx>
          <w:tblCellMar>
            <w:top w:w="0" w:type="dxa"/>
            <w:left w:w="108" w:type="dxa"/>
            <w:bottom w:w="0" w:type="dxa"/>
            <w:right w:w="108" w:type="dxa"/>
          </w:tblCellMar>
        </w:tblPrEx>
        <w:trPr>
          <w:trHeight w:val="1500"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51</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4）异常账单:对账完成后，如遇账目不平，此时系统提供账单异常处理功能。可以发起退款、补差、平账标记等操作，完成对账处理后可生成日报，否则系统无法生成日账单报表。</w:t>
            </w:r>
          </w:p>
        </w:tc>
      </w:tr>
      <w:tr>
        <w:trPr>
          <w:trHeight w:val="1074"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52</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2.自动对账异常提醒</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当系统自动对账发现异常订单时，系统自动发送消息给系统设定的医院异常订单处理人员，以便及时处理异常订单。</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53</w:t>
            </w:r>
          </w:p>
        </w:tc>
        <w:tc>
          <w:tcPr>
            <w:tcW w:w="41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3.对账统计</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支持对App、小程序渠道所产生的业务、流水等数据进行统计，满足医院各部门对运营、管理、宣传、财务的数据需要。并支持查询数据导出功能。</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bidi="ar"/>
              </w:rPr>
              <w:t>54</w:t>
            </w:r>
          </w:p>
        </w:tc>
        <w:tc>
          <w:tcPr>
            <w:tcW w:w="416" w:type="pct"/>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赠送增值服务模块</w:t>
            </w:r>
          </w:p>
        </w:tc>
        <w:tc>
          <w:tcPr>
            <w:tcW w:w="498" w:type="pct"/>
            <w:vMerge w:val="restart"/>
            <w:tcBorders>
              <w:top w:val="single" w:color="000000" w:sz="4" w:space="0"/>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p>
          <w:p>
            <w:pPr>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五、相关便民惠民及考核指标功能</w:t>
            </w: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1.移动医保支付</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完成医保移动支付平台对接并通过评审，患者可以在线完成医保分解。</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55</w:t>
            </w:r>
          </w:p>
        </w:tc>
        <w:tc>
          <w:tcPr>
            <w:tcW w:w="416"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2.电子发票</w:t>
            </w:r>
          </w:p>
          <w:p>
            <w:pPr>
              <w:widowControl/>
              <w:jc w:val="center"/>
              <w:textAlignment w:val="center"/>
              <w:rPr>
                <w:rFonts w:asciiTheme="minorEastAsia" w:hAnsiTheme="minorEastAsia" w:eastAsiaTheme="minorEastAsia" w:cstheme="minorEastAsia"/>
                <w:color w:val="000000"/>
                <w:sz w:val="21"/>
                <w:szCs w:val="21"/>
                <w:lang w:bidi="ar"/>
              </w:rPr>
            </w:pP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支持患者在移动应用端实时查询电子票据，下载电子票据电子版PDF文件</w:t>
            </w:r>
          </w:p>
        </w:tc>
      </w:tr>
      <w:tr>
        <w:tblPrEx>
          <w:tblCellMar>
            <w:top w:w="0" w:type="dxa"/>
            <w:left w:w="108" w:type="dxa"/>
            <w:bottom w:w="0" w:type="dxa"/>
            <w:right w:w="108" w:type="dxa"/>
          </w:tblCellMar>
        </w:tblPrEx>
        <w:trPr>
          <w:trHeight w:val="14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56</w:t>
            </w:r>
          </w:p>
        </w:tc>
        <w:tc>
          <w:tcPr>
            <w:tcW w:w="416"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3.患者便利保障服务</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支持患者在移动应用端实时查询，如：预约、挂号、缴费业务是否办理成功；可推送检查注意事项、用药指导信息（推送相关的健康科普知识）</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57</w:t>
            </w:r>
          </w:p>
        </w:tc>
        <w:tc>
          <w:tcPr>
            <w:tcW w:w="416"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4.完善门诊当日</w:t>
            </w:r>
            <w:r>
              <w:rPr>
                <w:rFonts w:asciiTheme="minorEastAsia" w:hAnsiTheme="minorEastAsia" w:eastAsiaTheme="minorEastAsia" w:cstheme="minorEastAsia"/>
                <w:color w:val="000000"/>
                <w:sz w:val="21"/>
                <w:szCs w:val="21"/>
                <w:lang w:bidi="ar"/>
              </w:rPr>
              <w:t>/</w:t>
            </w:r>
            <w:r>
              <w:rPr>
                <w:rFonts w:hint="eastAsia" w:asciiTheme="minorEastAsia" w:hAnsiTheme="minorEastAsia" w:eastAsiaTheme="minorEastAsia" w:cstheme="minorEastAsia"/>
                <w:color w:val="000000"/>
                <w:sz w:val="21"/>
                <w:szCs w:val="21"/>
                <w:lang w:bidi="ar"/>
              </w:rPr>
              <w:t>预约挂号业务</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支持患者通过移动应用端直接当日挂号、预约挂号，并完成待预约订单的线上支付功能，支持第三方微信、支付宝支付方式</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58</w:t>
            </w:r>
          </w:p>
        </w:tc>
        <w:tc>
          <w:tcPr>
            <w:tcW w:w="416"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5.完善门诊在线缴费业务</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支持患者在移动应用端</w:t>
            </w:r>
            <w:r>
              <w:rPr>
                <w:rFonts w:hint="eastAsia"/>
                <w:color w:val="000000"/>
              </w:rPr>
              <w:t>在线查询选择就诊人待缴费列表，可进行费用明细查看，并进行在线缴费查询医院指定时间段内的缴费记录并查看缴费详情</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59</w:t>
            </w:r>
          </w:p>
        </w:tc>
        <w:tc>
          <w:tcPr>
            <w:tcW w:w="416"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vMerge w:val="continue"/>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6.完善门诊报告查询业务</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支持患者在移动应用端实时</w:t>
            </w:r>
            <w:r>
              <w:rPr>
                <w:rFonts w:hint="eastAsia"/>
                <w:color w:val="000000"/>
              </w:rPr>
              <w:t>查看一段时间内在医院生成的检查报告单、检验报告单</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bidi="ar"/>
              </w:rPr>
              <w:t>60</w:t>
            </w:r>
          </w:p>
        </w:tc>
        <w:tc>
          <w:tcPr>
            <w:tcW w:w="416"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7、费用相关</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支持现有线上患者住院预交金支付、查询、结算功能，患者可查询总消费金额。首页填报、药品查询</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val="en-US" w:eastAsia="zh-CN" w:bidi="ar"/>
              </w:rPr>
              <w:t>61</w:t>
            </w:r>
          </w:p>
        </w:tc>
        <w:tc>
          <w:tcPr>
            <w:tcW w:w="416"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8、科普</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健康科普专栏</w:t>
            </w:r>
          </w:p>
        </w:tc>
      </w:tr>
      <w:tr>
        <w:tblPrEx>
          <w:tblCellMar>
            <w:top w:w="0" w:type="dxa"/>
            <w:left w:w="108" w:type="dxa"/>
            <w:bottom w:w="0" w:type="dxa"/>
            <w:right w:w="108" w:type="dxa"/>
          </w:tblCellMar>
        </w:tblPrEx>
        <w:trPr>
          <w:trHeight w:val="1309" w:hRule="atLeast"/>
          <w:jc w:val="center"/>
        </w:trPr>
        <w:tc>
          <w:tcPr>
            <w:tcW w:w="3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color w:val="000000"/>
                <w:sz w:val="21"/>
                <w:szCs w:val="21"/>
                <w:lang w:val="en-US" w:eastAsia="zh-CN" w:bidi="ar"/>
              </w:rPr>
              <w:t>62</w:t>
            </w:r>
          </w:p>
        </w:tc>
        <w:tc>
          <w:tcPr>
            <w:tcW w:w="416"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498" w:type="pct"/>
            <w:tcBorders>
              <w:left w:val="single" w:color="000000" w:sz="4" w:space="0"/>
              <w:right w:val="single" w:color="000000" w:sz="4" w:space="0"/>
            </w:tcBorders>
            <w:vAlign w:val="center"/>
          </w:tcPr>
          <w:p>
            <w:pPr>
              <w:jc w:val="center"/>
              <w:rPr>
                <w:rFonts w:asciiTheme="minorEastAsia" w:hAnsiTheme="minorEastAsia" w:eastAsiaTheme="minorEastAsia" w:cstheme="minorEastAsia"/>
                <w:color w:val="000000"/>
                <w:sz w:val="21"/>
                <w:szCs w:val="21"/>
              </w:rPr>
            </w:pPr>
          </w:p>
        </w:tc>
        <w:tc>
          <w:tcPr>
            <w:tcW w:w="53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9、区域中心</w:t>
            </w:r>
          </w:p>
        </w:tc>
        <w:tc>
          <w:tcPr>
            <w:tcW w:w="316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北京城市副中心区域互联网医院平台专区功能：社区医生在线复诊、双向转诊、远程会诊、患者管理等</w:t>
            </w:r>
          </w:p>
        </w:tc>
      </w:tr>
    </w:tbl>
    <w:p>
      <w:pPr>
        <w:pStyle w:val="3"/>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2.2 平台运维原则</w:t>
      </w:r>
    </w:p>
    <w:p>
      <w:pPr>
        <w:adjustRightInd w:val="0"/>
        <w:snapToGrid w:val="0"/>
        <w:spacing w:line="360" w:lineRule="auto"/>
        <w:ind w:firstLine="480" w:firstLineChars="200"/>
        <w:rPr>
          <w:rFonts w:ascii="宋体" w:hAnsi="宋体" w:cs="宋体"/>
          <w:sz w:val="24"/>
        </w:rPr>
      </w:pPr>
      <w:bookmarkStart w:id="1" w:name="_Toc146031959"/>
      <w:bookmarkStart w:id="2" w:name="_Toc9233974"/>
      <w:r>
        <w:rPr>
          <w:rFonts w:hint="eastAsia" w:ascii="宋体" w:hAnsi="宋体" w:cs="宋体"/>
          <w:sz w:val="24"/>
        </w:rPr>
        <w:t>2.2.1 稳定性原则</w:t>
      </w:r>
      <w:bookmarkEnd w:id="1"/>
      <w:bookmarkEnd w:id="2"/>
      <w:r>
        <w:rPr>
          <w:rFonts w:hint="eastAsia" w:ascii="宋体" w:hAnsi="宋体" w:cs="宋体"/>
          <w:sz w:val="24"/>
        </w:rPr>
        <w:t>：为医院管理、运营各方面的支撑环境，要求系统运维充分考虑系统的稳定性，并具有高可用性，要求系统支持7×24连续安全运行，稳定可靠，易于使用。在管理上，要求系统运维有较好的安全监控体系，保证系统和数据的稳定可靠。</w:t>
      </w:r>
    </w:p>
    <w:p>
      <w:pPr>
        <w:adjustRightInd w:val="0"/>
        <w:snapToGrid w:val="0"/>
        <w:spacing w:line="360" w:lineRule="auto"/>
        <w:ind w:firstLine="480" w:firstLineChars="200"/>
        <w:rPr>
          <w:rFonts w:ascii="宋体" w:hAnsi="宋体" w:cs="宋体"/>
          <w:sz w:val="24"/>
        </w:rPr>
      </w:pPr>
      <w:bookmarkStart w:id="3" w:name="_Toc146031960"/>
      <w:bookmarkStart w:id="4" w:name="_Toc9233975"/>
      <w:r>
        <w:rPr>
          <w:rFonts w:hint="eastAsia" w:ascii="宋体" w:hAnsi="宋体" w:cs="宋体"/>
          <w:sz w:val="24"/>
        </w:rPr>
        <w:t>2.2.2 标准化原则</w:t>
      </w:r>
      <w:bookmarkEnd w:id="3"/>
      <w:bookmarkEnd w:id="4"/>
      <w:r>
        <w:rPr>
          <w:rFonts w:hint="eastAsia" w:ascii="宋体" w:hAnsi="宋体" w:cs="宋体"/>
          <w:sz w:val="24"/>
        </w:rPr>
        <w:t>：运维过程中提供的所有软件产品、所涉及的工具及运行环境需遵循国家通用标准和行业规范。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 按照国家、行业、企业相关标准建设适合本院现状和发展的标准规范体系，创建信息共享、系统集成环境。</w:t>
      </w:r>
    </w:p>
    <w:p>
      <w:pPr>
        <w:adjustRightInd w:val="0"/>
        <w:snapToGrid w:val="0"/>
        <w:spacing w:line="360" w:lineRule="auto"/>
        <w:ind w:firstLine="480" w:firstLineChars="200"/>
        <w:rPr>
          <w:rFonts w:ascii="宋体" w:hAnsi="宋体" w:cs="宋体"/>
          <w:sz w:val="24"/>
        </w:rPr>
      </w:pPr>
      <w:bookmarkStart w:id="5" w:name="_Toc9233976"/>
      <w:bookmarkStart w:id="6" w:name="_Toc146031961"/>
      <w:r>
        <w:rPr>
          <w:rFonts w:hint="eastAsia" w:ascii="宋体" w:hAnsi="宋体" w:cs="宋体"/>
          <w:sz w:val="24"/>
        </w:rPr>
        <w:t>2.2.4 安全性原则</w:t>
      </w:r>
      <w:bookmarkEnd w:id="5"/>
      <w:bookmarkEnd w:id="6"/>
    </w:p>
    <w:p>
      <w:pPr>
        <w:adjustRightInd w:val="0"/>
        <w:snapToGrid w:val="0"/>
        <w:spacing w:line="360" w:lineRule="auto"/>
        <w:ind w:firstLine="480" w:firstLineChars="200"/>
        <w:rPr>
          <w:rFonts w:ascii="宋体" w:hAnsi="宋体" w:cs="宋体"/>
          <w:sz w:val="24"/>
        </w:rPr>
      </w:pPr>
      <w:r>
        <w:rPr>
          <w:rFonts w:hint="eastAsia" w:ascii="宋体" w:hAnsi="宋体" w:cs="宋体"/>
          <w:sz w:val="24"/>
        </w:rPr>
        <w:t>采用的软件开发技术和方法应该充分考虑医院所面临的安全性要求，建立适应的安全管理和备份保障机制。</w:t>
      </w:r>
    </w:p>
    <w:p>
      <w:pPr>
        <w:adjustRightInd w:val="0"/>
        <w:snapToGrid w:val="0"/>
        <w:spacing w:line="360" w:lineRule="auto"/>
        <w:ind w:firstLine="480" w:firstLineChars="200"/>
        <w:rPr>
          <w:rFonts w:ascii="宋体" w:hAnsi="宋体" w:cs="宋体"/>
          <w:sz w:val="24"/>
        </w:rPr>
      </w:pPr>
      <w:bookmarkStart w:id="7" w:name="_Toc9233977"/>
      <w:bookmarkStart w:id="8" w:name="_Toc146031962"/>
      <w:r>
        <w:rPr>
          <w:rFonts w:hint="eastAsia" w:ascii="宋体" w:hAnsi="宋体" w:cs="宋体"/>
          <w:sz w:val="24"/>
        </w:rPr>
        <w:t>2.2.5 易用性、易维护性与可配置性原则</w:t>
      </w:r>
      <w:bookmarkEnd w:id="7"/>
      <w:bookmarkEnd w:id="8"/>
    </w:p>
    <w:p>
      <w:pPr>
        <w:adjustRightInd w:val="0"/>
        <w:snapToGrid w:val="0"/>
        <w:spacing w:line="360" w:lineRule="auto"/>
        <w:ind w:firstLine="480" w:firstLineChars="200"/>
        <w:rPr>
          <w:rFonts w:ascii="宋体" w:hAnsi="宋体" w:cs="宋体"/>
          <w:sz w:val="24"/>
        </w:rPr>
      </w:pPr>
      <w:r>
        <w:rPr>
          <w:rFonts w:hint="eastAsia" w:ascii="宋体" w:hAnsi="宋体" w:cs="宋体"/>
          <w:sz w:val="24"/>
        </w:rPr>
        <w:t>应用系统的再开发要充分体现结构化、模块化的设计思想，采用设计和开发工具，同时按照便于管理和易维护原则，对于管理和维护有专门的考虑。运维过程中新开发的系统要易使用和易维护。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 平台现状</w:t>
      </w:r>
    </w:p>
    <w:p>
      <w:pPr>
        <w:adjustRightInd w:val="0"/>
        <w:snapToGrid w:val="0"/>
        <w:spacing w:line="360" w:lineRule="auto"/>
        <w:ind w:firstLine="480" w:firstLineChars="200"/>
        <w:rPr>
          <w:rFonts w:ascii="宋体" w:hAnsi="宋体" w:cs="宋体"/>
          <w:sz w:val="24"/>
        </w:rPr>
      </w:pPr>
      <w:bookmarkStart w:id="9" w:name="_Toc8858159"/>
      <w:bookmarkStart w:id="10" w:name="_Toc9233979"/>
      <w:bookmarkStart w:id="11" w:name="_Toc146031964"/>
      <w:r>
        <w:rPr>
          <w:rFonts w:hint="eastAsia" w:ascii="宋体" w:hAnsi="宋体" w:cs="宋体"/>
          <w:sz w:val="24"/>
        </w:rPr>
        <w:t>2.3.1 平台的技术架构</w:t>
      </w:r>
      <w:bookmarkEnd w:id="9"/>
      <w:bookmarkEnd w:id="10"/>
      <w:bookmarkEnd w:id="11"/>
      <w:r>
        <w:rPr>
          <w:rFonts w:hint="eastAsia" w:ascii="宋体" w:hAnsi="宋体" w:cs="宋体"/>
          <w:sz w:val="24"/>
        </w:rPr>
        <w:t>：我院构建的服务系统采用微服务架构，遵循充分解耦、高度可扩展的架构理念进行分层设计。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2.3.2 IAAS层：通过云化硬件平台实现资源的高可用和冗余备份保证“双活”甚至“多活”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2.3.3 PAAS层：通过服务协议层（TCP/IP、HTTP等）的软负载均衡实现高可用。SAAS层：通过统一接入、软负载Keepalived以及分布式微服务提供一方面增强了可靠性，另一方面通过开放的增加减少微服务节点应对高并发访问、大数据量处理等情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 现场应急响应服务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2.4.1在系统应急服务过程中，提供资深工程师现场应急响应服务。要求在最短时间内解决医院系统故障，确保系统的正常运行。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2.4.2响应时间：能够全天候（24小时）响应医院系统故障时发出的服务请求，工程师到达故障现场时间为：工作时间内：到达时间2小时，非工作时间：到达时间3小时。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w:t>
      </w:r>
      <w:r>
        <w:rPr>
          <w:rFonts w:ascii="宋体" w:hAnsi="宋体" w:cs="宋体"/>
          <w:sz w:val="24"/>
        </w:rPr>
        <w:t>故障排除时间：</w:t>
      </w:r>
      <w:r>
        <w:rPr>
          <w:rFonts w:hint="eastAsia" w:ascii="宋体" w:hAnsi="宋体" w:cs="宋体"/>
          <w:sz w:val="24"/>
        </w:rPr>
        <w:t>医院</w:t>
      </w:r>
      <w:r>
        <w:rPr>
          <w:rFonts w:ascii="宋体" w:hAnsi="宋体" w:cs="宋体"/>
          <w:sz w:val="24"/>
        </w:rPr>
        <w:t>发出服务请求</w:t>
      </w:r>
      <w:r>
        <w:rPr>
          <w:rFonts w:hint="eastAsia" w:ascii="宋体" w:hAnsi="宋体" w:cs="宋体"/>
          <w:sz w:val="24"/>
        </w:rPr>
        <w:t>，</w:t>
      </w:r>
      <w:r>
        <w:rPr>
          <w:rFonts w:ascii="宋体" w:hAnsi="宋体" w:cs="宋体"/>
          <w:sz w:val="24"/>
        </w:rPr>
        <w:t>工程师赶到现场后进行技术支持直至最终故障排除的时间段。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2.4.4 一般性故障解决时间：4小时内（含响应时间2小时）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 定期巡检服务</w:t>
      </w:r>
    </w:p>
    <w:p>
      <w:pPr>
        <w:pStyle w:val="7"/>
        <w:spacing w:before="0" w:beforeAutospacing="0" w:after="0" w:afterAutospacing="0" w:line="360" w:lineRule="auto"/>
        <w:ind w:firstLine="480" w:firstLineChars="200"/>
      </w:pPr>
      <w:r>
        <w:rPr>
          <w:rFonts w:hint="eastAsia"/>
        </w:rPr>
        <w:t>服务期内要求供应商提供工程师每月一次的巡检服务，巡检完毕出具巡检报告，做到防患于未然。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 技术咨询及技术保障服务：</w:t>
      </w:r>
      <w:r>
        <w:rPr>
          <w:rFonts w:hint="eastAsia"/>
          <w:sz w:val="24"/>
        </w:rPr>
        <w:t>要求供应商提供免费技术咨询及技术保障服务，具体服务内容如下：</w:t>
      </w:r>
    </w:p>
    <w:p>
      <w:pPr>
        <w:pStyle w:val="7"/>
        <w:spacing w:before="0" w:beforeAutospacing="0" w:after="0" w:afterAutospacing="0" w:line="360" w:lineRule="auto"/>
        <w:ind w:firstLine="480" w:firstLineChars="200"/>
      </w:pPr>
      <w:r>
        <w:rPr>
          <w:rFonts w:hint="eastAsia"/>
        </w:rPr>
        <w:t>2.6.1 全年7x24小时免费技术咨询服务；</w:t>
      </w:r>
    </w:p>
    <w:p>
      <w:pPr>
        <w:pStyle w:val="7"/>
        <w:spacing w:before="0" w:beforeAutospacing="0" w:after="0" w:afterAutospacing="0" w:line="360" w:lineRule="auto"/>
        <w:ind w:firstLine="480" w:firstLineChars="200"/>
      </w:pPr>
      <w:r>
        <w:rPr>
          <w:rFonts w:hint="eastAsia"/>
        </w:rPr>
        <w:t>2.6.2 国家重大节假日、医院重大活动等现场技术保障服务；</w:t>
      </w:r>
    </w:p>
    <w:p>
      <w:pPr>
        <w:pStyle w:val="7"/>
        <w:spacing w:before="0" w:beforeAutospacing="0" w:after="0" w:afterAutospacing="0" w:line="360" w:lineRule="auto"/>
        <w:ind w:firstLine="480" w:firstLineChars="200"/>
      </w:pPr>
      <w:r>
        <w:rPr>
          <w:rFonts w:hint="eastAsia"/>
        </w:rPr>
        <w:t>2.6.3 参与协助医院系统改造技术方案的制定，配合进行相关系统调整等工作。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5"/>
          <w:jc w:val="center"/>
        </w:pPr>
        <w:r>
          <w:fldChar w:fldCharType="begin"/>
        </w:r>
        <w:r>
          <w:instrText xml:space="preserve">PAGE   \* MERGEFORMAT</w:instrText>
        </w:r>
        <w:r>
          <w:fldChar w:fldCharType="separate"/>
        </w:r>
        <w:r>
          <w:rPr>
            <w:lang w:val="zh-CN"/>
          </w:rPr>
          <w:t>40</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A4D8F1"/>
    <w:multiLevelType w:val="multilevel"/>
    <w:tmpl w:val="5FA4D8F1"/>
    <w:lvl w:ilvl="0" w:tentative="0">
      <w:start w:val="2"/>
      <w:numFmt w:val="decimal"/>
      <w:suff w:val="space"/>
      <w:lvlText w:val="%1."/>
      <w:lvlJc w:val="left"/>
    </w:lvl>
    <w:lvl w:ilvl="1" w:tentative="0">
      <w:start w:val="1"/>
      <w:numFmt w:val="decimal"/>
      <w:isLgl/>
      <w:lvlText w:val="%1.%2"/>
      <w:lvlJc w:val="left"/>
      <w:pPr>
        <w:ind w:left="840" w:hanging="60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800" w:hanging="1080"/>
      </w:pPr>
      <w:rPr>
        <w:rFonts w:hint="default"/>
      </w:rPr>
    </w:lvl>
    <w:lvl w:ilvl="4" w:tentative="0">
      <w:start w:val="1"/>
      <w:numFmt w:val="decimal"/>
      <w:isLgl/>
      <w:lvlText w:val="%1.%2.%3.%4.%5"/>
      <w:lvlJc w:val="left"/>
      <w:pPr>
        <w:ind w:left="2040" w:hanging="1080"/>
      </w:pPr>
      <w:rPr>
        <w:rFonts w:hint="default"/>
      </w:rPr>
    </w:lvl>
    <w:lvl w:ilvl="5" w:tentative="0">
      <w:start w:val="1"/>
      <w:numFmt w:val="decimal"/>
      <w:isLgl/>
      <w:lvlText w:val="%1.%2.%3.%4.%5.%6"/>
      <w:lvlJc w:val="left"/>
      <w:pPr>
        <w:ind w:left="2640" w:hanging="1440"/>
      </w:pPr>
      <w:rPr>
        <w:rFonts w:hint="default"/>
      </w:rPr>
    </w:lvl>
    <w:lvl w:ilvl="6" w:tentative="0">
      <w:start w:val="1"/>
      <w:numFmt w:val="decimal"/>
      <w:isLgl/>
      <w:lvlText w:val="%1.%2.%3.%4.%5.%6.%7"/>
      <w:lvlJc w:val="left"/>
      <w:pPr>
        <w:ind w:left="3240" w:hanging="1800"/>
      </w:pPr>
      <w:rPr>
        <w:rFonts w:hint="default"/>
      </w:rPr>
    </w:lvl>
    <w:lvl w:ilvl="7" w:tentative="0">
      <w:start w:val="1"/>
      <w:numFmt w:val="decimal"/>
      <w:isLgl/>
      <w:lvlText w:val="%1.%2.%3.%4.%5.%6.%7.%8"/>
      <w:lvlJc w:val="left"/>
      <w:pPr>
        <w:ind w:left="3480" w:hanging="1800"/>
      </w:pPr>
      <w:rPr>
        <w:rFonts w:hint="default"/>
      </w:rPr>
    </w:lvl>
    <w:lvl w:ilvl="8" w:tentative="0">
      <w:start w:val="1"/>
      <w:numFmt w:val="decimal"/>
      <w:isLgl/>
      <w:lvlText w:val="%1.%2.%3.%4.%5.%6.%7.%8.%9"/>
      <w:lvlJc w:val="left"/>
      <w:pPr>
        <w:ind w:left="40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23515D19"/>
    <w:rsid w:val="39E70D67"/>
    <w:rsid w:val="EA97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360" w:lineRule="auto"/>
      <w:ind w:firstLine="480" w:firstLineChars="200"/>
    </w:pPr>
    <w:rPr>
      <w:rFonts w:ascii="宋体" w:hAnsi="宋体"/>
      <w:sz w:val="24"/>
    </w:rPr>
  </w:style>
  <w:style w:type="paragraph" w:styleId="4">
    <w:name w:val="Intense Quote"/>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Body Text 2"/>
    <w:basedOn w:val="1"/>
    <w:unhideWhenUsed/>
    <w:qFormat/>
    <w:uiPriority w:val="99"/>
    <w:pPr>
      <w:spacing w:after="120" w:line="360" w:lineRule="auto"/>
      <w:jc w:val="center"/>
    </w:pPr>
  </w:style>
  <w:style w:type="paragraph" w:styleId="7">
    <w:name w:val="Normal (Web)"/>
    <w:basedOn w:val="1"/>
    <w:qFormat/>
    <w:uiPriority w:val="0"/>
    <w:pPr>
      <w:widowControl/>
      <w:spacing w:before="100" w:beforeAutospacing="1" w:after="100" w:afterAutospacing="1"/>
      <w:jc w:val="left"/>
    </w:pPr>
    <w:rPr>
      <w:rFonts w:ascii="宋体" w:hAnsi="宋体" w:eastAsiaTheme="minorEastAsia" w:cstheme="minorBidi"/>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ascii="Calibri" w:hAnsi="Calibri"/>
      <w:szCs w:val="22"/>
    </w:rPr>
  </w:style>
  <w:style w:type="character" w:customStyle="1" w:styleId="12">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2024-06-14T11:46:00Z</dcterms:created>
  <dc:creator>cheny</dc:creator>
  <cp:lastModifiedBy>YQ</cp:lastModifiedBy>
  <dcterms:modified xsi:type="dcterms:W3CDTF">2026-03-09T03:49:24Z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3738284B374D4F9D8E0BA9BDE9CFF6F2_12</vt:lpwstr>
  </property>
</Properties>
</file>