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9DE13">
      <w:pPr>
        <w:jc w:val="right"/>
        <w:rPr>
          <w:rFonts w:hint="eastAsia"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合同编号：【          】</w:t>
      </w:r>
    </w:p>
    <w:p w14:paraId="2ADFA576">
      <w:pPr>
        <w:rPr>
          <w:color w:val="000000"/>
        </w:rPr>
      </w:pPr>
    </w:p>
    <w:p w14:paraId="2167D1B2">
      <w:pPr>
        <w:spacing w:line="480" w:lineRule="atLeast"/>
        <w:jc w:val="center"/>
        <w:rPr>
          <w:rFonts w:hint="eastAsia" w:ascii="黑体" w:hAnsi="黑体" w:eastAsia="黑体"/>
          <w:color w:val="000000"/>
          <w:sz w:val="52"/>
          <w:szCs w:val="52"/>
        </w:rPr>
      </w:pPr>
    </w:p>
    <w:p w14:paraId="5C4E0132">
      <w:pPr>
        <w:spacing w:line="480" w:lineRule="atLeast"/>
        <w:rPr>
          <w:rFonts w:hint="eastAsia" w:ascii="黑体" w:hAnsi="黑体" w:eastAsia="黑体"/>
          <w:color w:val="000000"/>
          <w:sz w:val="52"/>
          <w:szCs w:val="52"/>
        </w:rPr>
      </w:pPr>
    </w:p>
    <w:p w14:paraId="77CD5A0A">
      <w:pPr>
        <w:jc w:val="center"/>
        <w:rPr>
          <w:rFonts w:hint="eastAsia" w:ascii="黑体" w:hAnsi="黑体" w:eastAsia="黑体"/>
          <w:b/>
          <w:bCs/>
          <w:color w:val="000000"/>
          <w:sz w:val="56"/>
          <w:szCs w:val="56"/>
          <w:highlight w:val="red"/>
          <w:lang w:val="en-US" w:eastAsia="zh-CN"/>
        </w:rPr>
      </w:pPr>
      <w:r>
        <w:rPr>
          <w:rFonts w:hint="eastAsia" w:ascii="黑体" w:hAnsi="黑体" w:eastAsia="黑体"/>
          <w:b/>
          <w:bCs/>
          <w:color w:val="000000"/>
          <w:sz w:val="56"/>
          <w:szCs w:val="56"/>
        </w:rPr>
        <w:t>招标代理委托协议</w:t>
      </w:r>
      <w:r>
        <w:rPr>
          <w:rFonts w:hint="eastAsia" w:ascii="黑体" w:hAnsi="黑体" w:eastAsia="黑体"/>
          <w:b/>
          <w:bCs/>
          <w:color w:val="000000"/>
          <w:sz w:val="56"/>
          <w:szCs w:val="56"/>
          <w:highlight w:val="red"/>
          <w:lang w:val="en-US" w:eastAsia="zh-CN"/>
        </w:rPr>
        <w:t>模板</w:t>
      </w:r>
    </w:p>
    <w:p w14:paraId="370ECB2E">
      <w:pPr>
        <w:jc w:val="center"/>
        <w:rPr>
          <w:rFonts w:hint="default" w:ascii="黑体" w:hAnsi="黑体" w:eastAsia="黑体"/>
          <w:b/>
          <w:bCs/>
          <w:color w:val="000000"/>
          <w:sz w:val="56"/>
          <w:szCs w:val="56"/>
          <w:lang w:val="en-US" w:eastAsia="zh-CN"/>
        </w:rPr>
      </w:pPr>
      <w:r>
        <w:rPr>
          <w:rFonts w:hint="eastAsia" w:ascii="黑体" w:hAnsi="黑体" w:eastAsia="黑体"/>
          <w:b/>
          <w:bCs/>
          <w:color w:val="0000FF"/>
          <w:sz w:val="36"/>
          <w:szCs w:val="36"/>
          <w:lang w:val="en-US" w:eastAsia="zh-CN"/>
        </w:rPr>
        <w:t>以最终签订合同文本为准</w:t>
      </w:r>
    </w:p>
    <w:p w14:paraId="4D5AA335">
      <w:pPr>
        <w:spacing w:line="480" w:lineRule="atLeast"/>
        <w:rPr>
          <w:color w:val="000000"/>
        </w:rPr>
      </w:pPr>
    </w:p>
    <w:p w14:paraId="3A237265">
      <w:pPr>
        <w:spacing w:line="480" w:lineRule="atLeast"/>
        <w:rPr>
          <w:color w:val="000000"/>
        </w:rPr>
      </w:pPr>
    </w:p>
    <w:p w14:paraId="25D00D80">
      <w:pPr>
        <w:spacing w:line="480" w:lineRule="atLeast"/>
        <w:rPr>
          <w:color w:val="000000"/>
        </w:rPr>
      </w:pPr>
    </w:p>
    <w:p w14:paraId="65368774">
      <w:pPr>
        <w:spacing w:line="480" w:lineRule="atLeast"/>
        <w:rPr>
          <w:color w:val="000000"/>
        </w:rPr>
      </w:pPr>
    </w:p>
    <w:p w14:paraId="131EE7DD">
      <w:pPr>
        <w:spacing w:line="480" w:lineRule="atLeast"/>
        <w:jc w:val="center"/>
        <w:rPr>
          <w:rFonts w:hint="eastAsia" w:ascii="仿宋_GB2312" w:hAnsi="仿宋_GB2312" w:eastAsia="仿宋_GB2312" w:cs="仿宋_GB2312"/>
          <w:color w:val="000000"/>
          <w:sz w:val="32"/>
          <w:szCs w:val="32"/>
        </w:rPr>
      </w:pPr>
    </w:p>
    <w:p w14:paraId="7E153305">
      <w:pPr>
        <w:spacing w:line="480" w:lineRule="atLeast"/>
        <w:jc w:val="center"/>
        <w:rPr>
          <w:rFonts w:hint="eastAsia" w:ascii="仿宋_GB2312" w:hAnsi="仿宋_GB2312" w:eastAsia="仿宋_GB2312" w:cs="仿宋_GB2312"/>
          <w:color w:val="000000"/>
          <w:sz w:val="32"/>
          <w:szCs w:val="32"/>
        </w:rPr>
      </w:pPr>
    </w:p>
    <w:p w14:paraId="694BE797">
      <w:pPr>
        <w:spacing w:line="480" w:lineRule="atLeast"/>
        <w:jc w:val="center"/>
        <w:rPr>
          <w:rFonts w:hint="eastAsia" w:ascii="仿宋_GB2312" w:hAnsi="仿宋_GB2312" w:eastAsia="仿宋_GB2312" w:cs="仿宋_GB2312"/>
          <w:color w:val="000000"/>
          <w:sz w:val="32"/>
          <w:szCs w:val="32"/>
        </w:rPr>
      </w:pPr>
    </w:p>
    <w:tbl>
      <w:tblPr>
        <w:tblStyle w:val="7"/>
        <w:tblW w:w="0" w:type="auto"/>
        <w:jc w:val="center"/>
        <w:tblInd w:w="0" w:type="dxa"/>
        <w:tblLayout w:type="fixed"/>
        <w:tblCellMar>
          <w:top w:w="0" w:type="dxa"/>
          <w:left w:w="108" w:type="dxa"/>
          <w:bottom w:w="0" w:type="dxa"/>
          <w:right w:w="108" w:type="dxa"/>
        </w:tblCellMar>
      </w:tblPr>
      <w:tblGrid>
        <w:gridCol w:w="2090"/>
        <w:gridCol w:w="498"/>
        <w:gridCol w:w="5369"/>
      </w:tblGrid>
      <w:tr w14:paraId="5B1A1BBF">
        <w:tblPrEx>
          <w:tblLayout w:type="fixed"/>
        </w:tblPrEx>
        <w:trPr>
          <w:trHeight w:val="997" w:hRule="atLeast"/>
          <w:jc w:val="center"/>
        </w:trPr>
        <w:tc>
          <w:tcPr>
            <w:tcW w:w="2090" w:type="dxa"/>
            <w:vAlign w:val="bottom"/>
          </w:tcPr>
          <w:p w14:paraId="1A8A78F6">
            <w:pPr>
              <w:spacing w:line="240" w:lineRule="auto"/>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rPr>
              <w:t>委托</w:t>
            </w:r>
            <w:r>
              <w:rPr>
                <w:rFonts w:hint="eastAsia" w:ascii="微软雅黑" w:hAnsi="微软雅黑" w:eastAsia="微软雅黑" w:cs="微软雅黑"/>
                <w:b/>
                <w:bCs/>
                <w:sz w:val="28"/>
                <w:szCs w:val="28"/>
                <w:lang w:val="en-US" w:eastAsia="zh-CN"/>
              </w:rPr>
              <w:t>方</w:t>
            </w:r>
          </w:p>
          <w:p w14:paraId="2762D72B">
            <w:pPr>
              <w:spacing w:line="24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（采购人）</w:t>
            </w:r>
          </w:p>
        </w:tc>
        <w:tc>
          <w:tcPr>
            <w:tcW w:w="498" w:type="dxa"/>
            <w:vAlign w:val="bottom"/>
          </w:tcPr>
          <w:p w14:paraId="5D14F5AD">
            <w:pPr>
              <w:spacing w:line="24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w:t>
            </w:r>
          </w:p>
        </w:tc>
        <w:tc>
          <w:tcPr>
            <w:tcW w:w="5369" w:type="dxa"/>
            <w:tcBorders>
              <w:bottom w:val="single" w:color="auto" w:sz="4" w:space="0"/>
            </w:tcBorders>
            <w:vAlign w:val="bottom"/>
          </w:tcPr>
          <w:p w14:paraId="40753A8A">
            <w:pPr>
              <w:spacing w:line="240" w:lineRule="auto"/>
              <w:jc w:val="center"/>
              <w:rPr>
                <w:rFonts w:hint="eastAsia" w:ascii="微软雅黑" w:hAnsi="微软雅黑" w:eastAsia="微软雅黑" w:cs="微软雅黑"/>
                <w:b/>
                <w:bCs/>
                <w:sz w:val="28"/>
                <w:szCs w:val="28"/>
                <w:lang w:val="en-US" w:eastAsia="zh-CN"/>
              </w:rPr>
            </w:pPr>
          </w:p>
        </w:tc>
      </w:tr>
      <w:tr w14:paraId="28B8EFCC">
        <w:tblPrEx>
          <w:tblLayout w:type="fixed"/>
        </w:tblPrEx>
        <w:trPr>
          <w:trHeight w:val="997" w:hRule="atLeast"/>
          <w:jc w:val="center"/>
        </w:trPr>
        <w:tc>
          <w:tcPr>
            <w:tcW w:w="2090" w:type="dxa"/>
            <w:vAlign w:val="bottom"/>
          </w:tcPr>
          <w:p w14:paraId="6F0F4BD8">
            <w:pPr>
              <w:spacing w:line="24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代理方</w:t>
            </w:r>
          </w:p>
          <w:p w14:paraId="04EB3BC4">
            <w:pPr>
              <w:spacing w:line="24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（成交供应商）</w:t>
            </w:r>
          </w:p>
        </w:tc>
        <w:tc>
          <w:tcPr>
            <w:tcW w:w="498" w:type="dxa"/>
            <w:vAlign w:val="bottom"/>
          </w:tcPr>
          <w:p w14:paraId="5DA0103E">
            <w:pPr>
              <w:spacing w:line="24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w:t>
            </w:r>
          </w:p>
        </w:tc>
        <w:tc>
          <w:tcPr>
            <w:tcW w:w="5369" w:type="dxa"/>
            <w:tcBorders>
              <w:top w:val="single" w:color="auto" w:sz="4" w:space="0"/>
              <w:bottom w:val="single" w:color="auto" w:sz="4" w:space="0"/>
            </w:tcBorders>
            <w:vAlign w:val="bottom"/>
          </w:tcPr>
          <w:p w14:paraId="77E92EB1">
            <w:pPr>
              <w:spacing w:line="24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 </w:t>
            </w:r>
          </w:p>
        </w:tc>
      </w:tr>
      <w:tr w14:paraId="3D51CCB9">
        <w:tblPrEx>
          <w:tblLayout w:type="fixed"/>
        </w:tblPrEx>
        <w:trPr>
          <w:trHeight w:val="997" w:hRule="atLeast"/>
          <w:jc w:val="center"/>
        </w:trPr>
        <w:tc>
          <w:tcPr>
            <w:tcW w:w="2090" w:type="dxa"/>
            <w:vAlign w:val="bottom"/>
          </w:tcPr>
          <w:p w14:paraId="305BD442">
            <w:pPr>
              <w:spacing w:line="24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项目名称</w:t>
            </w:r>
          </w:p>
        </w:tc>
        <w:tc>
          <w:tcPr>
            <w:tcW w:w="498" w:type="dxa"/>
            <w:vAlign w:val="bottom"/>
          </w:tcPr>
          <w:p w14:paraId="3FD13A07">
            <w:pPr>
              <w:spacing w:line="24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w:t>
            </w:r>
          </w:p>
        </w:tc>
        <w:tc>
          <w:tcPr>
            <w:tcW w:w="5369" w:type="dxa"/>
            <w:tcBorders>
              <w:top w:val="single" w:color="auto" w:sz="4" w:space="0"/>
              <w:bottom w:val="single" w:color="auto" w:sz="4" w:space="0"/>
            </w:tcBorders>
            <w:vAlign w:val="bottom"/>
          </w:tcPr>
          <w:p w14:paraId="7B2F2685">
            <w:pPr>
              <w:spacing w:line="24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院内基建工程项目招标代理 </w:t>
            </w:r>
          </w:p>
        </w:tc>
      </w:tr>
      <w:tr w14:paraId="204A8D23">
        <w:tblPrEx>
          <w:tblLayout w:type="fixed"/>
        </w:tblPrEx>
        <w:trPr>
          <w:trHeight w:val="997" w:hRule="atLeast"/>
          <w:jc w:val="center"/>
        </w:trPr>
        <w:tc>
          <w:tcPr>
            <w:tcW w:w="2090" w:type="dxa"/>
            <w:vAlign w:val="bottom"/>
          </w:tcPr>
          <w:p w14:paraId="0F4E2D4C">
            <w:pPr>
              <w:spacing w:line="24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合同编号</w:t>
            </w:r>
          </w:p>
        </w:tc>
        <w:tc>
          <w:tcPr>
            <w:tcW w:w="498" w:type="dxa"/>
            <w:vAlign w:val="bottom"/>
          </w:tcPr>
          <w:p w14:paraId="0F409506">
            <w:pPr>
              <w:spacing w:line="24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w:t>
            </w:r>
          </w:p>
        </w:tc>
        <w:tc>
          <w:tcPr>
            <w:tcW w:w="5369" w:type="dxa"/>
            <w:tcBorders>
              <w:top w:val="single" w:color="auto" w:sz="4" w:space="0"/>
              <w:bottom w:val="single" w:color="auto" w:sz="4" w:space="0"/>
            </w:tcBorders>
            <w:vAlign w:val="bottom"/>
          </w:tcPr>
          <w:p w14:paraId="6DBC8E99">
            <w:pPr>
              <w:spacing w:line="240" w:lineRule="auto"/>
              <w:jc w:val="center"/>
              <w:rPr>
                <w:rFonts w:hint="eastAsia" w:ascii="微软雅黑" w:hAnsi="微软雅黑" w:eastAsia="微软雅黑" w:cs="微软雅黑"/>
                <w:b/>
                <w:bCs/>
                <w:sz w:val="28"/>
                <w:szCs w:val="28"/>
              </w:rPr>
            </w:pPr>
          </w:p>
        </w:tc>
      </w:tr>
    </w:tbl>
    <w:p w14:paraId="0EFE31BB">
      <w:pPr>
        <w:spacing w:line="240" w:lineRule="auto"/>
        <w:jc w:val="center"/>
        <w:rPr>
          <w:rFonts w:hint="eastAsia" w:ascii="微软雅黑" w:hAnsi="微软雅黑" w:eastAsia="微软雅黑" w:cs="微软雅黑"/>
          <w:b/>
          <w:bCs/>
          <w:color w:val="000000"/>
          <w:sz w:val="32"/>
          <w:szCs w:val="32"/>
        </w:rPr>
      </w:pPr>
    </w:p>
    <w:p w14:paraId="1E2E8EB8">
      <w:pPr>
        <w:spacing w:line="240" w:lineRule="auto"/>
        <w:rPr>
          <w:rFonts w:hint="eastAsia" w:ascii="微软雅黑" w:hAnsi="微软雅黑" w:eastAsia="微软雅黑" w:cs="微软雅黑"/>
          <w:sz w:val="32"/>
          <w:szCs w:val="32"/>
        </w:rPr>
      </w:pPr>
      <w:r>
        <w:rPr>
          <w:rFonts w:hint="eastAsia" w:ascii="微软雅黑" w:hAnsi="微软雅黑" w:eastAsia="微软雅黑" w:cs="微软雅黑"/>
          <w:b/>
          <w:sz w:val="44"/>
        </w:rPr>
        <w:br w:type="page"/>
      </w:r>
      <w:r>
        <w:rPr>
          <w:rFonts w:hint="eastAsia" w:ascii="微软雅黑" w:hAnsi="微软雅黑" w:eastAsia="微软雅黑" w:cs="微软雅黑"/>
          <w:sz w:val="32"/>
          <w:szCs w:val="32"/>
        </w:rPr>
        <w:t>甲方（委托方）：【                      】</w:t>
      </w:r>
    </w:p>
    <w:p w14:paraId="77FF996A">
      <w:pPr>
        <w:spacing w:line="240" w:lineRule="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乙方（代理方）：【                      】</w:t>
      </w:r>
    </w:p>
    <w:p w14:paraId="0C34DD73">
      <w:pPr>
        <w:tabs>
          <w:tab w:val="left" w:pos="1080"/>
        </w:tabs>
        <w:spacing w:line="240" w:lineRule="auto"/>
        <w:ind w:firstLine="640" w:firstLineChars="200"/>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甲乙双方秉持平等、自愿、诚实信用之原则，依据《中华人民共和国民法典》《中华人民共和国招标投标法》《中华人民共和国招标投标法实施条例》以及国家相关行政规章，就甲方【工程</w:t>
      </w:r>
      <w:r>
        <w:rPr>
          <w:rFonts w:hint="eastAsia" w:ascii="微软雅黑" w:hAnsi="微软雅黑" w:eastAsia="微软雅黑" w:cs="微软雅黑"/>
          <w:sz w:val="32"/>
          <w:szCs w:val="32"/>
          <w:lang w:val="en-US" w:eastAsia="zh-CN"/>
        </w:rPr>
        <w:t>及工程配套服务等】委托乙方进行招标的相关事宜，达成如下协议：</w:t>
      </w:r>
    </w:p>
    <w:p w14:paraId="6E25677F">
      <w:pPr>
        <w:numPr>
          <w:ilvl w:val="0"/>
          <w:numId w:val="1"/>
        </w:numPr>
        <w:spacing w:line="240" w:lineRule="auto"/>
        <w:ind w:firstLine="640" w:firstLineChars="20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项目情况及委托内容</w:t>
      </w:r>
    </w:p>
    <w:p w14:paraId="500324C3">
      <w:pPr>
        <w:numPr>
          <w:ilvl w:val="0"/>
          <w:numId w:val="0"/>
        </w:numPr>
        <w:spacing w:line="240" w:lineRule="auto"/>
        <w:ind w:firstLine="640" w:firstLineChars="200"/>
        <w:jc w:val="left"/>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（一）甲方所属【委托代理服务期内的工程类</w:t>
      </w:r>
      <w:r>
        <w:rPr>
          <w:rFonts w:hint="eastAsia" w:ascii="微软雅黑" w:hAnsi="微软雅黑" w:eastAsia="微软雅黑" w:cs="微软雅黑"/>
          <w:sz w:val="32"/>
          <w:szCs w:val="32"/>
          <w:lang w:val="en-US" w:eastAsia="zh-CN"/>
        </w:rPr>
        <w:t>及工程配套</w:t>
      </w:r>
      <w:r>
        <w:rPr>
          <w:rFonts w:hint="eastAsia" w:ascii="微软雅黑" w:hAnsi="微软雅黑" w:eastAsia="微软雅黑" w:cs="微软雅黑"/>
          <w:sz w:val="32"/>
          <w:szCs w:val="32"/>
        </w:rPr>
        <w:t>服务</w:t>
      </w:r>
      <w:r>
        <w:rPr>
          <w:rFonts w:hint="eastAsia" w:ascii="微软雅黑" w:hAnsi="微软雅黑" w:eastAsia="微软雅黑" w:cs="微软雅黑"/>
          <w:sz w:val="32"/>
          <w:szCs w:val="32"/>
          <w:lang w:val="en-US" w:eastAsia="zh-CN"/>
        </w:rPr>
        <w:t>等</w:t>
      </w:r>
      <w:r>
        <w:rPr>
          <w:rFonts w:hint="eastAsia" w:ascii="微软雅黑" w:hAnsi="微软雅黑" w:eastAsia="微软雅黑" w:cs="微软雅黑"/>
          <w:sz w:val="32"/>
          <w:szCs w:val="32"/>
        </w:rPr>
        <w:t>】项目。</w:t>
      </w:r>
    </w:p>
    <w:p w14:paraId="7C7D4B8C">
      <w:pPr>
        <w:adjustRightInd w:val="0"/>
        <w:snapToGrid w:val="0"/>
        <w:spacing w:line="240" w:lineRule="auto"/>
        <w:ind w:firstLine="640" w:firstLineChars="200"/>
        <w:contextualSpacing/>
        <w:jc w:val="left"/>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（二）甲方委托乙方以【公开招标】方式，开展上述项目的代理招标工作。主要工作内容如下：</w:t>
      </w:r>
    </w:p>
    <w:p w14:paraId="0FCC1C41">
      <w:pPr>
        <w:adjustRightInd w:val="0"/>
        <w:snapToGrid w:val="0"/>
        <w:spacing w:line="240" w:lineRule="auto"/>
        <w:ind w:firstLine="640" w:firstLineChars="200"/>
        <w:contextualSpacing/>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eastAsia="zh-CN"/>
        </w:rPr>
        <w:t xml:space="preserve">. </w:t>
      </w:r>
      <w:r>
        <w:rPr>
          <w:rFonts w:hint="eastAsia" w:ascii="微软雅黑" w:hAnsi="微软雅黑" w:eastAsia="微软雅黑" w:cs="微软雅黑"/>
          <w:sz w:val="32"/>
          <w:szCs w:val="32"/>
        </w:rPr>
        <w:t>拟定招标方案；</w:t>
      </w:r>
    </w:p>
    <w:p w14:paraId="58FB9C61">
      <w:pPr>
        <w:adjustRightInd w:val="0"/>
        <w:snapToGrid w:val="0"/>
        <w:spacing w:line="240" w:lineRule="auto"/>
        <w:ind w:firstLine="640" w:firstLineChars="200"/>
        <w:contextualSpacing/>
        <w:jc w:val="left"/>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 视项目具体情况，负责办理与招标相关的备案手续；</w:t>
      </w:r>
    </w:p>
    <w:p w14:paraId="63BC7273">
      <w:pPr>
        <w:adjustRightInd w:val="0"/>
        <w:snapToGrid w:val="0"/>
        <w:spacing w:line="240" w:lineRule="auto"/>
        <w:ind w:firstLine="640" w:firstLineChars="200"/>
        <w:contextualSpacing/>
        <w:jc w:val="left"/>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3. 视项目具体情况，编制资格预审文件及招标文件；</w:t>
      </w:r>
    </w:p>
    <w:p w14:paraId="6759D241">
      <w:pPr>
        <w:adjustRightInd w:val="0"/>
        <w:snapToGrid w:val="0"/>
        <w:spacing w:line="240" w:lineRule="auto"/>
        <w:ind w:firstLine="640" w:firstLineChars="200"/>
        <w:contextualSpacing/>
        <w:jc w:val="left"/>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4. 根据项目实际情况，在国家认可且符合项目审批部门要求的网站发布资格预审公告或招标公告；</w:t>
      </w:r>
    </w:p>
    <w:p w14:paraId="4D77D803">
      <w:pPr>
        <w:adjustRightInd w:val="0"/>
        <w:snapToGrid w:val="0"/>
        <w:spacing w:line="240" w:lineRule="auto"/>
        <w:ind w:firstLine="640" w:firstLineChars="200"/>
        <w:contextualSpacing/>
        <w:jc w:val="left"/>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5. 接受投标报名，视项目具体情况组织资格预审评审；</w:t>
      </w:r>
    </w:p>
    <w:p w14:paraId="78F1CC81">
      <w:pPr>
        <w:adjustRightInd w:val="0"/>
        <w:snapToGrid w:val="0"/>
        <w:spacing w:line="240" w:lineRule="auto"/>
        <w:ind w:firstLine="640" w:firstLineChars="200"/>
        <w:contextualSpacing/>
        <w:jc w:val="left"/>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6. 组织现场踏勘与答疑活动；</w:t>
      </w:r>
    </w:p>
    <w:p w14:paraId="7D69EB46">
      <w:pPr>
        <w:adjustRightInd w:val="0"/>
        <w:snapToGrid w:val="0"/>
        <w:spacing w:line="240" w:lineRule="auto"/>
        <w:ind w:firstLine="640" w:firstLineChars="200"/>
        <w:contextualSpacing/>
        <w:jc w:val="left"/>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7. 按照有关招投标规定组织开标、评标，并提交评标报告；</w:t>
      </w:r>
    </w:p>
    <w:p w14:paraId="6B7B5D5B">
      <w:pPr>
        <w:adjustRightInd w:val="0"/>
        <w:snapToGrid w:val="0"/>
        <w:spacing w:line="240" w:lineRule="auto"/>
        <w:ind w:firstLine="640" w:firstLineChars="200"/>
        <w:contextualSpacing/>
        <w:jc w:val="left"/>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8. 按照甲方确认的结果发布中标候选人公示、中标公告，同时向中标单位发出中标通知书，向所有未中标单位发出中标结果通知书；</w:t>
      </w:r>
    </w:p>
    <w:p w14:paraId="1BEB3A1B">
      <w:pPr>
        <w:adjustRightInd w:val="0"/>
        <w:snapToGrid w:val="0"/>
        <w:spacing w:line="240" w:lineRule="auto"/>
        <w:ind w:firstLine="640" w:firstLineChars="200"/>
        <w:contextualSpacing/>
        <w:jc w:val="left"/>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9. 协助甲方进行合同准备、合同谈判以及合同签署工作；</w:t>
      </w:r>
    </w:p>
    <w:p w14:paraId="05F413FA">
      <w:pPr>
        <w:adjustRightInd w:val="0"/>
        <w:snapToGrid w:val="0"/>
        <w:spacing w:line="240" w:lineRule="auto"/>
        <w:ind w:firstLine="640" w:firstLineChars="200"/>
        <w:contextualSpacing/>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10</w:t>
      </w:r>
      <w:r>
        <w:rPr>
          <w:rFonts w:hint="eastAsia" w:ascii="微软雅黑" w:hAnsi="微软雅黑" w:eastAsia="微软雅黑" w:cs="微软雅黑"/>
          <w:sz w:val="32"/>
          <w:szCs w:val="32"/>
          <w:lang w:eastAsia="zh-CN"/>
        </w:rPr>
        <w:t xml:space="preserve">. </w:t>
      </w:r>
      <w:r>
        <w:rPr>
          <w:rFonts w:hint="eastAsia" w:ascii="微软雅黑" w:hAnsi="微软雅黑" w:eastAsia="微软雅黑" w:cs="微软雅黑"/>
          <w:sz w:val="32"/>
          <w:szCs w:val="32"/>
        </w:rPr>
        <w:t>协助甲方办理地方相关政府部门的报批手续；</w:t>
      </w:r>
    </w:p>
    <w:p w14:paraId="3A784D0D">
      <w:pPr>
        <w:adjustRightInd w:val="0"/>
        <w:snapToGrid w:val="0"/>
        <w:spacing w:line="240" w:lineRule="auto"/>
        <w:ind w:firstLine="640" w:firstLineChars="200"/>
        <w:contextualSpacing/>
        <w:jc w:val="left"/>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11. 向甲方提供招标过程中的全部文件资料；</w:t>
      </w:r>
    </w:p>
    <w:p w14:paraId="0CD63B0C">
      <w:pPr>
        <w:spacing w:line="240" w:lineRule="auto"/>
        <w:ind w:firstLine="640" w:firstLineChars="200"/>
        <w:jc w:val="left"/>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12. 办理甲方交办的与招标工作相关的其他事宜。</w:t>
      </w:r>
    </w:p>
    <w:p w14:paraId="17507044">
      <w:pPr>
        <w:spacing w:after="156" w:line="240" w:lineRule="auto"/>
        <w:ind w:firstLine="646"/>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（三）项目代理招标的内容为：【在委托代理服务期内，为甲方所属的工程类</w:t>
      </w:r>
      <w:r>
        <w:rPr>
          <w:rFonts w:hint="eastAsia" w:ascii="微软雅黑" w:hAnsi="微软雅黑" w:eastAsia="微软雅黑" w:cs="微软雅黑"/>
          <w:sz w:val="32"/>
          <w:szCs w:val="32"/>
          <w:lang w:val="en-US" w:eastAsia="zh-CN"/>
        </w:rPr>
        <w:t>及工程配套服务等项目提供招标代理服务。】</w:t>
      </w:r>
    </w:p>
    <w:p w14:paraId="5C156E0D">
      <w:pPr>
        <w:spacing w:line="240" w:lineRule="auto"/>
        <w:ind w:firstLine="640" w:firstLineChars="200"/>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二、代理期限</w:t>
      </w:r>
    </w:p>
    <w:p w14:paraId="712DBAD6">
      <w:pPr>
        <w:spacing w:line="240" w:lineRule="auto"/>
        <w:ind w:firstLine="640" w:firstLineChars="200"/>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1. 本合同自甲乙双方签字并盖章之日起生效，初始委托期限为一年（自生效之日起计算，按365个自然日核算）。</w:t>
      </w:r>
    </w:p>
    <w:p w14:paraId="3B15DC24">
      <w:pPr>
        <w:spacing w:line="240" w:lineRule="auto"/>
        <w:ind w:firstLine="640" w:firstLineChars="200"/>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2. 本合同采用“一年一签、三年总控”的合作模式，总服务期限最长不超过三年。</w:t>
      </w:r>
    </w:p>
    <w:p w14:paraId="458244B9">
      <w:pPr>
        <w:spacing w:line="240" w:lineRule="auto"/>
        <w:ind w:firstLine="640" w:firstLineChars="200"/>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3. 年度履约评估：每个委托年度结束后，甲方将依照遴选文件的相关约定以及院内考核要求，对乙方的服务质量、合规性、履约情况等进行全面的年度评估。</w:t>
      </w:r>
    </w:p>
    <w:p w14:paraId="4825757B">
      <w:pPr>
        <w:spacing w:line="240" w:lineRule="auto"/>
        <w:ind w:firstLine="640" w:firstLineChars="200"/>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4. 续约及终止：若评估合格，双方可协商续签下一年度的委托合同；若评估不合格，甲方有权不再续签合同，乙方应无条件接受。乙方需在合同终止后的15日内，完成所有未办结招标工作的交接及资料归档，并配合甲方做好后续衔接工作，相关费用按照乙方实际履约情况进行结算。</w:t>
      </w:r>
    </w:p>
    <w:p w14:paraId="5124DB79">
      <w:pPr>
        <w:spacing w:line="240" w:lineRule="auto"/>
        <w:ind w:firstLine="640" w:firstLineChars="2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三、双方权利义务</w:t>
      </w:r>
    </w:p>
    <w:p w14:paraId="128D8312">
      <w:pPr>
        <w:spacing w:line="240" w:lineRule="auto"/>
        <w:ind w:firstLine="600"/>
        <w:rPr>
          <w:rFonts w:hint="eastAsia" w:ascii="微软雅黑" w:hAnsi="微软雅黑" w:eastAsia="微软雅黑" w:cs="微软雅黑"/>
          <w:sz w:val="32"/>
          <w:szCs w:val="32"/>
        </w:rPr>
      </w:pPr>
      <w:r>
        <w:rPr>
          <w:rFonts w:hint="eastAsia" w:ascii="微软雅黑" w:hAnsi="微软雅黑" w:eastAsia="微软雅黑" w:cs="微软雅黑"/>
          <w:sz w:val="32"/>
          <w:szCs w:val="32"/>
        </w:rPr>
        <w:t>（一）甲方</w:t>
      </w:r>
      <w:r>
        <w:rPr>
          <w:rFonts w:hint="eastAsia" w:ascii="微软雅黑" w:hAnsi="微软雅黑" w:eastAsia="微软雅黑" w:cs="微软雅黑"/>
          <w:sz w:val="32"/>
          <w:szCs w:val="32"/>
          <w:lang w:eastAsia="zh-CN"/>
        </w:rPr>
        <w:t>应</w:t>
      </w:r>
      <w:r>
        <w:rPr>
          <w:rFonts w:hint="eastAsia" w:ascii="微软雅黑" w:hAnsi="微软雅黑" w:eastAsia="微软雅黑" w:cs="微软雅黑"/>
          <w:sz w:val="32"/>
          <w:szCs w:val="32"/>
        </w:rPr>
        <w:t>协助乙方做好项目招标的相关工作，为乙方提供编制招标文件所需的技术资料和有关文件，并在整个招标</w:t>
      </w:r>
      <w:r>
        <w:rPr>
          <w:rFonts w:hint="eastAsia" w:ascii="微软雅黑" w:hAnsi="微软雅黑" w:eastAsia="微软雅黑" w:cs="微软雅黑"/>
          <w:sz w:val="32"/>
          <w:szCs w:val="32"/>
          <w:lang w:eastAsia="zh-CN"/>
        </w:rPr>
        <w:t>过程中</w:t>
      </w:r>
      <w:r>
        <w:rPr>
          <w:rFonts w:hint="eastAsia" w:ascii="微软雅黑" w:hAnsi="微软雅黑" w:eastAsia="微软雅黑" w:cs="微软雅黑"/>
          <w:sz w:val="32"/>
          <w:szCs w:val="32"/>
        </w:rPr>
        <w:t>给予乙方必要的支持。</w:t>
      </w:r>
    </w:p>
    <w:p w14:paraId="71166999">
      <w:pPr>
        <w:spacing w:line="240" w:lineRule="auto"/>
        <w:ind w:firstLine="645"/>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二）乙方接受委托后，应根据《中华人民共和国招标投标法》《中华人民共和国招标投标法实施条例》等政府有关部门的规定以及甲方项目的具体要求，遵循公开、公平、公正的原则进行招标，并按照甲方的委托提供相关的代理招标服务。</w:t>
      </w:r>
    </w:p>
    <w:p w14:paraId="69F64A54">
      <w:pPr>
        <w:pStyle w:val="8"/>
        <w:spacing w:line="240" w:lineRule="auto"/>
        <w:rPr>
          <w:rFonts w:hint="eastAsia" w:ascii="微软雅黑" w:hAnsi="微软雅黑" w:eastAsia="微软雅黑" w:cs="微软雅黑"/>
          <w:color w:val="000000"/>
          <w:szCs w:val="32"/>
        </w:rPr>
      </w:pPr>
      <w:r>
        <w:rPr>
          <w:rFonts w:hint="eastAsia" w:ascii="微软雅黑" w:hAnsi="微软雅黑" w:eastAsia="微软雅黑" w:cs="微软雅黑"/>
          <w:color w:val="000000"/>
          <w:szCs w:val="32"/>
        </w:rPr>
        <w:t>（三）甲方有权</w:t>
      </w:r>
      <w:r>
        <w:rPr>
          <w:rFonts w:hint="eastAsia" w:ascii="微软雅黑" w:hAnsi="微软雅黑" w:eastAsia="微软雅黑" w:cs="微软雅黑"/>
          <w:color w:val="000000"/>
          <w:szCs w:val="32"/>
          <w:lang w:eastAsia="zh-CN"/>
        </w:rPr>
        <w:t>依据</w:t>
      </w:r>
      <w:r>
        <w:rPr>
          <w:rFonts w:hint="eastAsia" w:ascii="微软雅黑" w:hAnsi="微软雅黑" w:eastAsia="微软雅黑" w:cs="微软雅黑"/>
          <w:color w:val="auto"/>
          <w:szCs w:val="32"/>
        </w:rPr>
        <w:t>《中华人民共和国招标投标法》《中华人民共和国招标投标法实施条例》</w:t>
      </w:r>
      <w:r>
        <w:rPr>
          <w:rFonts w:hint="eastAsia" w:ascii="微软雅黑" w:hAnsi="微软雅黑" w:eastAsia="微软雅黑" w:cs="微软雅黑"/>
          <w:color w:val="000000"/>
          <w:szCs w:val="32"/>
        </w:rPr>
        <w:t>参与招标文件编制、开标、评标、定标等招标程序，享有招标人</w:t>
      </w:r>
      <w:r>
        <w:rPr>
          <w:rFonts w:hint="eastAsia" w:ascii="微软雅黑" w:hAnsi="微软雅黑" w:eastAsia="微软雅黑" w:cs="微软雅黑"/>
          <w:color w:val="000000"/>
          <w:szCs w:val="32"/>
          <w:lang w:eastAsia="zh-CN"/>
        </w:rPr>
        <w:t>的</w:t>
      </w:r>
      <w:r>
        <w:rPr>
          <w:rFonts w:hint="eastAsia" w:ascii="微软雅黑" w:hAnsi="微软雅黑" w:eastAsia="微软雅黑" w:cs="微软雅黑"/>
          <w:color w:val="000000"/>
          <w:szCs w:val="32"/>
        </w:rPr>
        <w:t>权利。</w:t>
      </w:r>
    </w:p>
    <w:p w14:paraId="503F539D">
      <w:pPr>
        <w:pStyle w:val="8"/>
        <w:spacing w:line="240" w:lineRule="auto"/>
        <w:rPr>
          <w:rFonts w:hint="eastAsia" w:ascii="微软雅黑" w:hAnsi="微软雅黑" w:eastAsia="微软雅黑" w:cs="微软雅黑"/>
          <w:lang w:eastAsia="zh-CN"/>
        </w:rPr>
      </w:pPr>
      <w:r>
        <w:rPr>
          <w:rFonts w:hint="eastAsia" w:ascii="微软雅黑" w:hAnsi="微软雅黑" w:eastAsia="微软雅黑" w:cs="微软雅黑"/>
          <w:color w:val="000000"/>
          <w:szCs w:val="32"/>
          <w:lang w:eastAsia="zh-CN"/>
        </w:rPr>
        <w:t>（四）甲乙双方应按照各自承担的义务，承担招标过程中产生的直接费用。乙方按照国家有关规定向【中标人】收取中标服务费用。</w:t>
      </w:r>
    </w:p>
    <w:p w14:paraId="2A5C0CC6">
      <w:pPr>
        <w:pStyle w:val="8"/>
        <w:spacing w:line="240" w:lineRule="auto"/>
        <w:rPr>
          <w:rFonts w:hint="eastAsia" w:ascii="微软雅黑" w:hAnsi="微软雅黑" w:eastAsia="微软雅黑" w:cs="微软雅黑"/>
          <w:color w:val="000000"/>
          <w:szCs w:val="32"/>
        </w:rPr>
      </w:pPr>
      <w:r>
        <w:rPr>
          <w:rFonts w:hint="eastAsia" w:ascii="微软雅黑" w:hAnsi="微软雅黑" w:eastAsia="微软雅黑" w:cs="微软雅黑"/>
          <w:color w:val="000000"/>
          <w:szCs w:val="32"/>
        </w:rPr>
        <w:t>（五）甲乙双方应诚信合作，尽职</w:t>
      </w:r>
      <w:r>
        <w:rPr>
          <w:rFonts w:hint="eastAsia" w:ascii="微软雅黑" w:hAnsi="微软雅黑" w:eastAsia="微软雅黑" w:cs="微软雅黑"/>
          <w:color w:val="000000"/>
          <w:szCs w:val="32"/>
          <w:lang w:eastAsia="zh-CN"/>
        </w:rPr>
        <w:t>履行各自义务</w:t>
      </w:r>
      <w:r>
        <w:rPr>
          <w:rFonts w:hint="eastAsia" w:ascii="微软雅黑" w:hAnsi="微软雅黑" w:eastAsia="微软雅黑" w:cs="微软雅黑"/>
          <w:color w:val="000000"/>
          <w:szCs w:val="32"/>
        </w:rPr>
        <w:t>，相互负有及时告知、协助、保密等义务。</w:t>
      </w:r>
    </w:p>
    <w:p w14:paraId="3BCD71DD">
      <w:pPr>
        <w:pStyle w:val="8"/>
        <w:spacing w:after="156" w:line="240" w:lineRule="auto"/>
        <w:ind w:firstLine="646"/>
        <w:rPr>
          <w:rFonts w:hint="eastAsia" w:ascii="微软雅黑" w:hAnsi="微软雅黑" w:eastAsia="微软雅黑" w:cs="微软雅黑"/>
          <w:color w:val="000000"/>
          <w:szCs w:val="32"/>
        </w:rPr>
      </w:pPr>
      <w:r>
        <w:rPr>
          <w:rFonts w:hint="eastAsia" w:ascii="微软雅黑" w:hAnsi="微软雅黑" w:eastAsia="微软雅黑" w:cs="微软雅黑"/>
          <w:color w:val="000000"/>
          <w:szCs w:val="32"/>
        </w:rPr>
        <w:t>（六）</w:t>
      </w:r>
      <w:r>
        <w:rPr>
          <w:rFonts w:hint="eastAsia" w:ascii="微软雅黑" w:hAnsi="微软雅黑" w:eastAsia="微软雅黑" w:cs="微软雅黑"/>
          <w:color w:val="000000"/>
          <w:szCs w:val="32"/>
          <w:lang w:eastAsia="zh-CN"/>
        </w:rPr>
        <w:t>若</w:t>
      </w:r>
      <w:r>
        <w:rPr>
          <w:rFonts w:hint="eastAsia" w:ascii="微软雅黑" w:hAnsi="微软雅黑" w:eastAsia="微软雅黑" w:cs="微软雅黑"/>
          <w:color w:val="000000"/>
          <w:szCs w:val="32"/>
        </w:rPr>
        <w:t>因乙方违规操作导致招标工作无效、被投诉或引发纠纷，由乙方全权负责处理，承担全部费用及责任，并赔偿因此给甲方造成的全部损失</w:t>
      </w:r>
      <w:r>
        <w:rPr>
          <w:rFonts w:hint="eastAsia" w:ascii="微软雅黑" w:hAnsi="微软雅黑" w:eastAsia="微软雅黑" w:cs="微软雅黑"/>
          <w:color w:val="000000"/>
          <w:szCs w:val="32"/>
          <w:lang w:eastAsia="zh-CN"/>
        </w:rPr>
        <w:t>。</w:t>
      </w:r>
      <w:r>
        <w:rPr>
          <w:rFonts w:hint="eastAsia" w:ascii="微软雅黑" w:hAnsi="微软雅黑" w:eastAsia="微软雅黑" w:cs="微软雅黑"/>
          <w:color w:val="000000"/>
          <w:szCs w:val="32"/>
        </w:rPr>
        <w:t>甲方有权单方终止合同，不再续签。</w:t>
      </w:r>
    </w:p>
    <w:p w14:paraId="75082C67">
      <w:pPr>
        <w:pStyle w:val="8"/>
        <w:spacing w:after="156" w:line="240" w:lineRule="auto"/>
        <w:ind w:firstLine="646"/>
        <w:rPr>
          <w:rFonts w:hint="eastAsia" w:ascii="微软雅黑" w:hAnsi="微软雅黑" w:eastAsia="微软雅黑" w:cs="微软雅黑"/>
          <w:color w:val="000000"/>
          <w:szCs w:val="32"/>
        </w:rPr>
      </w:pPr>
      <w:r>
        <w:rPr>
          <w:rFonts w:hint="eastAsia" w:ascii="微软雅黑" w:hAnsi="微软雅黑" w:eastAsia="微软雅黑" w:cs="微软雅黑"/>
          <w:color w:val="000000"/>
          <w:szCs w:val="32"/>
          <w:lang w:eastAsia="zh-CN"/>
        </w:rPr>
        <w:t>（</w:t>
      </w:r>
      <w:r>
        <w:rPr>
          <w:rFonts w:hint="eastAsia" w:ascii="微软雅黑" w:hAnsi="微软雅黑" w:eastAsia="微软雅黑" w:cs="微软雅黑"/>
          <w:color w:val="000000"/>
          <w:szCs w:val="32"/>
          <w:lang w:val="en-US" w:eastAsia="zh-CN"/>
        </w:rPr>
        <w:t>七</w:t>
      </w:r>
      <w:r>
        <w:rPr>
          <w:rFonts w:hint="eastAsia" w:ascii="微软雅黑" w:hAnsi="微软雅黑" w:eastAsia="微软雅黑" w:cs="微软雅黑"/>
          <w:color w:val="000000"/>
          <w:szCs w:val="32"/>
          <w:lang w:eastAsia="zh-CN"/>
        </w:rPr>
        <w:t>）</w:t>
      </w:r>
      <w:r>
        <w:rPr>
          <w:rFonts w:hint="eastAsia" w:ascii="微软雅黑" w:hAnsi="微软雅黑" w:eastAsia="微软雅黑" w:cs="微软雅黑"/>
          <w:color w:val="000000"/>
          <w:szCs w:val="32"/>
        </w:rPr>
        <w:t>本协议一经生效，协议任何一方不得随意变更或撤销协议内容，否则视为违约。违约方应赔偿因违约行为给对方造成的直接经济损失。</w:t>
      </w:r>
    </w:p>
    <w:p w14:paraId="598A6E1F">
      <w:pPr>
        <w:spacing w:line="240" w:lineRule="auto"/>
        <w:ind w:firstLine="640" w:firstLineChars="2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eastAsia="zh-CN"/>
        </w:rPr>
        <w:t>四、</w:t>
      </w:r>
      <w:r>
        <w:rPr>
          <w:rFonts w:hint="eastAsia" w:ascii="微软雅黑" w:hAnsi="微软雅黑" w:eastAsia="微软雅黑" w:cs="微软雅黑"/>
          <w:b/>
          <w:bCs/>
          <w:sz w:val="32"/>
          <w:szCs w:val="32"/>
        </w:rPr>
        <w:t>关于代理招标服务内容</w:t>
      </w:r>
    </w:p>
    <w:p w14:paraId="7D4C7FF9">
      <w:pPr>
        <w:spacing w:line="240" w:lineRule="auto"/>
        <w:ind w:firstLine="645"/>
        <w:rPr>
          <w:rFonts w:hint="eastAsia" w:ascii="微软雅黑" w:hAnsi="微软雅黑" w:eastAsia="微软雅黑" w:cs="微软雅黑"/>
          <w:sz w:val="32"/>
          <w:szCs w:val="32"/>
        </w:rPr>
      </w:pPr>
      <w:r>
        <w:rPr>
          <w:rFonts w:hint="eastAsia" w:ascii="微软雅黑" w:hAnsi="微软雅黑" w:eastAsia="微软雅黑" w:cs="微软雅黑"/>
          <w:sz w:val="32"/>
          <w:szCs w:val="32"/>
        </w:rPr>
        <w:t>根据甲方</w:t>
      </w:r>
      <w:r>
        <w:rPr>
          <w:rFonts w:hint="eastAsia" w:ascii="微软雅黑" w:hAnsi="微软雅黑" w:eastAsia="微软雅黑" w:cs="微软雅黑"/>
          <w:sz w:val="32"/>
          <w:szCs w:val="32"/>
          <w:lang w:eastAsia="zh-CN"/>
        </w:rPr>
        <w:t>的</w:t>
      </w:r>
      <w:r>
        <w:rPr>
          <w:rFonts w:hint="eastAsia" w:ascii="微软雅黑" w:hAnsi="微软雅黑" w:eastAsia="微软雅黑" w:cs="微软雅黑"/>
          <w:sz w:val="32"/>
          <w:szCs w:val="32"/>
        </w:rPr>
        <w:t>委托，乙方提供以下招标服务：</w:t>
      </w:r>
    </w:p>
    <w:p w14:paraId="3B60ACB2">
      <w:pPr>
        <w:spacing w:line="240" w:lineRule="auto"/>
        <w:ind w:firstLine="645"/>
        <w:rPr>
          <w:rFonts w:hint="eastAsia" w:ascii="微软雅黑" w:hAnsi="微软雅黑" w:eastAsia="微软雅黑" w:cs="微软雅黑"/>
          <w:sz w:val="32"/>
          <w:szCs w:val="32"/>
        </w:rPr>
      </w:pPr>
      <w:r>
        <w:rPr>
          <w:rFonts w:hint="eastAsia" w:ascii="微软雅黑" w:hAnsi="微软雅黑" w:eastAsia="微软雅黑" w:cs="微软雅黑"/>
          <w:sz w:val="32"/>
          <w:szCs w:val="32"/>
        </w:rPr>
        <w:t>（一）根据甲方提出的技术条件和</w:t>
      </w:r>
      <w:r>
        <w:rPr>
          <w:rFonts w:hint="eastAsia" w:ascii="微软雅黑" w:hAnsi="微软雅黑" w:eastAsia="微软雅黑" w:cs="微软雅黑"/>
          <w:sz w:val="32"/>
          <w:szCs w:val="32"/>
          <w:lang w:eastAsia="zh-CN"/>
        </w:rPr>
        <w:t>其他</w:t>
      </w:r>
      <w:r>
        <w:rPr>
          <w:rFonts w:hint="eastAsia" w:ascii="微软雅黑" w:hAnsi="微软雅黑" w:eastAsia="微软雅黑" w:cs="微软雅黑"/>
          <w:sz w:val="32"/>
          <w:szCs w:val="32"/>
        </w:rPr>
        <w:t>需求编制招标文件；</w:t>
      </w:r>
    </w:p>
    <w:p w14:paraId="31E96B33">
      <w:pPr>
        <w:spacing w:line="240" w:lineRule="auto"/>
        <w:ind w:firstLine="645"/>
        <w:rPr>
          <w:rFonts w:hint="eastAsia" w:ascii="微软雅黑" w:hAnsi="微软雅黑" w:eastAsia="微软雅黑" w:cs="微软雅黑"/>
          <w:sz w:val="32"/>
          <w:szCs w:val="32"/>
        </w:rPr>
      </w:pPr>
      <w:r>
        <w:rPr>
          <w:rFonts w:hint="eastAsia" w:ascii="微软雅黑" w:hAnsi="微软雅黑" w:eastAsia="微软雅黑" w:cs="微软雅黑"/>
          <w:sz w:val="32"/>
          <w:szCs w:val="32"/>
        </w:rPr>
        <w:t>（二）按照有关招标管理规定办理招标文件的报审</w:t>
      </w:r>
      <w:r>
        <w:rPr>
          <w:rFonts w:hint="eastAsia" w:ascii="微软雅黑" w:hAnsi="微软雅黑" w:eastAsia="微软雅黑" w:cs="微软雅黑"/>
          <w:sz w:val="32"/>
          <w:szCs w:val="32"/>
          <w:lang w:eastAsia="zh-CN"/>
        </w:rPr>
        <w:t>工作</w:t>
      </w:r>
      <w:r>
        <w:rPr>
          <w:rFonts w:hint="eastAsia" w:ascii="微软雅黑" w:hAnsi="微软雅黑" w:eastAsia="微软雅黑" w:cs="微软雅黑"/>
          <w:sz w:val="32"/>
          <w:szCs w:val="32"/>
        </w:rPr>
        <w:t>；</w:t>
      </w:r>
    </w:p>
    <w:p w14:paraId="37BEC03D">
      <w:pPr>
        <w:spacing w:line="240" w:lineRule="auto"/>
        <w:ind w:firstLine="645"/>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（三）收集了解潜在投标人及 招标设备的相关信息与资料；</w:t>
      </w:r>
    </w:p>
    <w:p w14:paraId="1CA4F6A0">
      <w:pPr>
        <w:spacing w:line="240" w:lineRule="auto"/>
        <w:ind w:firstLine="645"/>
        <w:rPr>
          <w:rFonts w:hint="eastAsia" w:ascii="微软雅黑" w:hAnsi="微软雅黑" w:eastAsia="微软雅黑" w:cs="微软雅黑"/>
          <w:sz w:val="32"/>
          <w:szCs w:val="32"/>
        </w:rPr>
      </w:pPr>
      <w:r>
        <w:rPr>
          <w:rFonts w:hint="eastAsia" w:ascii="微软雅黑" w:hAnsi="微软雅黑" w:eastAsia="微软雅黑" w:cs="微软雅黑"/>
          <w:sz w:val="32"/>
          <w:szCs w:val="32"/>
        </w:rPr>
        <w:t>（四）</w:t>
      </w:r>
      <w:r>
        <w:rPr>
          <w:rFonts w:hint="eastAsia" w:ascii="微软雅黑" w:hAnsi="微软雅黑" w:eastAsia="微软雅黑" w:cs="微软雅黑"/>
          <w:sz w:val="32"/>
          <w:szCs w:val="32"/>
          <w:lang w:eastAsia="zh-CN"/>
        </w:rPr>
        <w:t>于</w:t>
      </w:r>
      <w:r>
        <w:rPr>
          <w:rFonts w:hint="eastAsia" w:ascii="微软雅黑" w:hAnsi="微软雅黑" w:eastAsia="微软雅黑" w:cs="微软雅黑"/>
          <w:sz w:val="32"/>
          <w:szCs w:val="32"/>
        </w:rPr>
        <w:t>规定的媒介上发布招标信息；</w:t>
      </w:r>
    </w:p>
    <w:p w14:paraId="0D963146">
      <w:pPr>
        <w:spacing w:line="240" w:lineRule="auto"/>
        <w:ind w:firstLine="645"/>
        <w:rPr>
          <w:rFonts w:hint="eastAsia" w:ascii="微软雅黑" w:hAnsi="微软雅黑" w:eastAsia="微软雅黑" w:cs="微软雅黑"/>
          <w:sz w:val="32"/>
          <w:szCs w:val="32"/>
        </w:rPr>
      </w:pPr>
      <w:r>
        <w:rPr>
          <w:rFonts w:hint="eastAsia" w:ascii="微软雅黑" w:hAnsi="微软雅黑" w:eastAsia="微软雅黑" w:cs="微软雅黑"/>
          <w:sz w:val="32"/>
          <w:szCs w:val="32"/>
        </w:rPr>
        <w:t>（五）必要时</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组织对投标人进行资格预审。</w:t>
      </w:r>
    </w:p>
    <w:p w14:paraId="7B64887B">
      <w:pPr>
        <w:spacing w:line="240" w:lineRule="auto"/>
        <w:ind w:firstLine="645"/>
        <w:rPr>
          <w:rFonts w:hint="eastAsia" w:ascii="微软雅黑" w:hAnsi="微软雅黑" w:eastAsia="微软雅黑" w:cs="微软雅黑"/>
          <w:sz w:val="32"/>
          <w:szCs w:val="32"/>
        </w:rPr>
      </w:pPr>
      <w:r>
        <w:rPr>
          <w:rFonts w:hint="eastAsia" w:ascii="微软雅黑" w:hAnsi="微软雅黑" w:eastAsia="微软雅黑" w:cs="微软雅黑"/>
          <w:sz w:val="32"/>
          <w:szCs w:val="32"/>
        </w:rPr>
        <w:t>（六）出售招标文件或向潜在投标人发送投标邀请；</w:t>
      </w:r>
    </w:p>
    <w:p w14:paraId="5B6F930E">
      <w:pPr>
        <w:spacing w:line="240" w:lineRule="auto"/>
        <w:ind w:firstLine="645"/>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（七）开展开标前澄清、招标文件修改等相关工作；</w:t>
      </w:r>
    </w:p>
    <w:p w14:paraId="338C3E2B">
      <w:pPr>
        <w:spacing w:line="240" w:lineRule="auto"/>
        <w:ind w:firstLine="645"/>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（八）依据法律法规的规定与甲方协商组建评标委员会并确定评标办法；</w:t>
      </w:r>
    </w:p>
    <w:p w14:paraId="6A66AEBC">
      <w:pPr>
        <w:spacing w:line="240" w:lineRule="auto"/>
        <w:ind w:firstLine="645"/>
        <w:rPr>
          <w:rFonts w:hint="eastAsia" w:ascii="微软雅黑" w:hAnsi="微软雅黑" w:eastAsia="微软雅黑" w:cs="微软雅黑"/>
          <w:sz w:val="32"/>
          <w:szCs w:val="32"/>
        </w:rPr>
      </w:pPr>
      <w:r>
        <w:rPr>
          <w:rFonts w:hint="eastAsia" w:ascii="微软雅黑" w:hAnsi="微软雅黑" w:eastAsia="微软雅黑" w:cs="微软雅黑"/>
          <w:sz w:val="32"/>
          <w:szCs w:val="32"/>
        </w:rPr>
        <w:t>（九）组织并主持开标仪式；</w:t>
      </w:r>
    </w:p>
    <w:p w14:paraId="21B9ADCE">
      <w:pPr>
        <w:spacing w:line="240" w:lineRule="auto"/>
        <w:ind w:firstLine="645"/>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（十）接收投标（包含投标文件及投标保证金）；</w:t>
      </w:r>
    </w:p>
    <w:p w14:paraId="39004AFD">
      <w:pPr>
        <w:spacing w:line="240" w:lineRule="auto"/>
        <w:ind w:firstLine="645"/>
        <w:rPr>
          <w:rFonts w:hint="eastAsia" w:ascii="微软雅黑" w:hAnsi="微软雅黑" w:eastAsia="微软雅黑" w:cs="微软雅黑"/>
          <w:sz w:val="32"/>
          <w:szCs w:val="32"/>
        </w:rPr>
      </w:pPr>
      <w:r>
        <w:rPr>
          <w:rFonts w:hint="eastAsia" w:ascii="微软雅黑" w:hAnsi="微软雅黑" w:eastAsia="微软雅黑" w:cs="微软雅黑"/>
          <w:sz w:val="32"/>
          <w:szCs w:val="32"/>
        </w:rPr>
        <w:t>（十一）组织评标委员会评标</w:t>
      </w:r>
      <w:r>
        <w:rPr>
          <w:rFonts w:hint="eastAsia" w:ascii="微软雅黑" w:hAnsi="微软雅黑" w:eastAsia="微软雅黑" w:cs="微软雅黑"/>
          <w:sz w:val="32"/>
          <w:szCs w:val="32"/>
          <w:lang w:eastAsia="zh-CN"/>
        </w:rPr>
        <w:t>，并向</w:t>
      </w:r>
      <w:r>
        <w:rPr>
          <w:rFonts w:hint="eastAsia" w:ascii="微软雅黑" w:hAnsi="微软雅黑" w:eastAsia="微软雅黑" w:cs="微软雅黑"/>
          <w:sz w:val="32"/>
          <w:szCs w:val="32"/>
        </w:rPr>
        <w:t>投标人询标，进行技术商务澄清；</w:t>
      </w:r>
    </w:p>
    <w:p w14:paraId="2CE71831">
      <w:pPr>
        <w:spacing w:line="240" w:lineRule="auto"/>
        <w:ind w:firstLine="645"/>
        <w:rPr>
          <w:rFonts w:hint="eastAsia" w:ascii="微软雅黑" w:hAnsi="微软雅黑" w:eastAsia="微软雅黑" w:cs="微软雅黑"/>
          <w:sz w:val="32"/>
          <w:szCs w:val="32"/>
        </w:rPr>
      </w:pPr>
      <w:r>
        <w:rPr>
          <w:rFonts w:hint="eastAsia" w:ascii="微软雅黑" w:hAnsi="微软雅黑" w:eastAsia="微软雅黑" w:cs="微软雅黑"/>
          <w:sz w:val="32"/>
          <w:szCs w:val="32"/>
        </w:rPr>
        <w:t>（十二）按规定向招标人或有关部门报送评标委员会出具的评标报告；</w:t>
      </w:r>
    </w:p>
    <w:p w14:paraId="741733BB">
      <w:pPr>
        <w:spacing w:line="240" w:lineRule="auto"/>
        <w:ind w:firstLine="645"/>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（十三）依据法规规定以及有关部门和甲方的意见确定中标后，向中标方发出中标通知；</w:t>
      </w:r>
    </w:p>
    <w:p w14:paraId="65EA75DE">
      <w:pPr>
        <w:spacing w:line="240" w:lineRule="auto"/>
        <w:ind w:firstLine="645"/>
        <w:rPr>
          <w:rFonts w:hint="eastAsia" w:ascii="微软雅黑" w:hAnsi="微软雅黑" w:eastAsia="微软雅黑" w:cs="微软雅黑"/>
          <w:sz w:val="32"/>
          <w:szCs w:val="32"/>
        </w:rPr>
      </w:pPr>
      <w:r>
        <w:rPr>
          <w:rFonts w:hint="eastAsia" w:ascii="微软雅黑" w:hAnsi="微软雅黑" w:eastAsia="微软雅黑" w:cs="微软雅黑"/>
          <w:sz w:val="32"/>
          <w:szCs w:val="32"/>
        </w:rPr>
        <w:t>（十四）通知投标人招标结果</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并清退保函或保证金；</w:t>
      </w:r>
    </w:p>
    <w:p w14:paraId="74D8D36F">
      <w:pPr>
        <w:spacing w:line="240" w:lineRule="auto"/>
        <w:ind w:firstLine="645"/>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（十五）协助甲方与中标商就有关合同签订事宜进行洽谈；</w:t>
      </w:r>
    </w:p>
    <w:p w14:paraId="3022C515">
      <w:pPr>
        <w:spacing w:after="156" w:line="240" w:lineRule="auto"/>
        <w:ind w:firstLine="646"/>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（十六）接受委托的其他招标事务。</w:t>
      </w:r>
    </w:p>
    <w:p w14:paraId="61FAB0DC">
      <w:pPr>
        <w:spacing w:line="240" w:lineRule="auto"/>
        <w:ind w:firstLine="640" w:firstLineChars="2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五</w:t>
      </w:r>
      <w:r>
        <w:rPr>
          <w:rFonts w:hint="eastAsia" w:ascii="微软雅黑" w:hAnsi="微软雅黑" w:eastAsia="微软雅黑" w:cs="微软雅黑"/>
          <w:b/>
          <w:bCs/>
          <w:sz w:val="32"/>
          <w:szCs w:val="32"/>
        </w:rPr>
        <w:t>、关于工作进度</w:t>
      </w:r>
    </w:p>
    <w:p w14:paraId="5CC5A3E2">
      <w:pPr>
        <w:spacing w:line="240" w:lineRule="auto"/>
        <w:ind w:firstLine="640" w:firstLineChars="200"/>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委托期限：自合同签订之日起一年（一年按365个自然日计算）。委托期限届满后，若乙方有部分工作尚未完成，乙方应按照本协议约定的服务标准完成剩余工作。本协议为框架协议，甲方不承诺委托期限内的委托项目数量及金额。</w:t>
      </w:r>
    </w:p>
    <w:p w14:paraId="4026B099">
      <w:pPr>
        <w:spacing w:line="240" w:lineRule="auto"/>
        <w:ind w:firstLine="640" w:firstLineChars="2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六</w:t>
      </w:r>
      <w:r>
        <w:rPr>
          <w:rFonts w:hint="eastAsia" w:ascii="微软雅黑" w:hAnsi="微软雅黑" w:eastAsia="微软雅黑" w:cs="微软雅黑"/>
          <w:b/>
          <w:bCs/>
          <w:sz w:val="32"/>
          <w:szCs w:val="32"/>
        </w:rPr>
        <w:t>、关于招标收费</w:t>
      </w:r>
    </w:p>
    <w:p w14:paraId="5F9CF24E">
      <w:pPr>
        <w:spacing w:line="240" w:lineRule="auto"/>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中标服务费参照【《招标代理服务收费管理暂行办法》(计价格【2002】1980号)的规定下浮</w:t>
      </w:r>
      <w:r>
        <w:rPr>
          <w:rFonts w:hint="eastAsia" w:ascii="微软雅黑" w:hAnsi="微软雅黑" w:eastAsia="微软雅黑" w:cs="微软雅黑"/>
          <w:sz w:val="32"/>
          <w:szCs w:val="32"/>
          <w:lang w:val="en-US" w:eastAsia="zh-CN"/>
        </w:rPr>
        <w:t>20</w:t>
      </w:r>
      <w:r>
        <w:rPr>
          <w:rFonts w:hint="eastAsia" w:ascii="微软雅黑" w:hAnsi="微软雅黑" w:eastAsia="微软雅黑" w:cs="微软雅黑"/>
          <w:sz w:val="32"/>
          <w:szCs w:val="32"/>
        </w:rPr>
        <w:t>%】相关规定执行，按服务类标准向【中标人】收取中标服务费。</w:t>
      </w:r>
    </w:p>
    <w:p w14:paraId="4E3A726C">
      <w:pPr>
        <w:spacing w:line="240" w:lineRule="auto"/>
        <w:ind w:firstLine="640" w:firstLineChars="2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七</w:t>
      </w:r>
      <w:r>
        <w:rPr>
          <w:rFonts w:hint="eastAsia" w:ascii="微软雅黑" w:hAnsi="微软雅黑" w:eastAsia="微软雅黑" w:cs="微软雅黑"/>
          <w:b/>
          <w:bCs/>
          <w:sz w:val="32"/>
          <w:szCs w:val="32"/>
        </w:rPr>
        <w:t>、保密条款</w:t>
      </w:r>
    </w:p>
    <w:p w14:paraId="0E77A35E">
      <w:pPr>
        <w:spacing w:line="240" w:lineRule="auto"/>
        <w:ind w:firstLine="640" w:firstLineChars="200"/>
        <w:rPr>
          <w:rFonts w:hint="eastAsia"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1</w:t>
      </w:r>
      <w:r>
        <w:rPr>
          <w:rFonts w:hint="eastAsia" w:ascii="微软雅黑" w:hAnsi="微软雅黑" w:eastAsia="微软雅黑" w:cs="微软雅黑"/>
          <w:color w:val="000000"/>
          <w:sz w:val="32"/>
          <w:szCs w:val="32"/>
          <w:lang w:eastAsia="zh-CN"/>
        </w:rPr>
        <w:t>、</w:t>
      </w:r>
      <w:r>
        <w:rPr>
          <w:rFonts w:hint="eastAsia" w:ascii="微软雅黑" w:hAnsi="微软雅黑" w:eastAsia="微软雅黑" w:cs="微软雅黑"/>
          <w:color w:val="000000"/>
          <w:sz w:val="32"/>
          <w:szCs w:val="32"/>
        </w:rPr>
        <w:t>双方确认，</w:t>
      </w:r>
      <w:r>
        <w:rPr>
          <w:rFonts w:hint="eastAsia" w:ascii="微软雅黑" w:hAnsi="微软雅黑" w:eastAsia="微软雅黑" w:cs="微软雅黑"/>
          <w:color w:val="000000"/>
          <w:sz w:val="32"/>
          <w:szCs w:val="32"/>
          <w:lang w:eastAsia="zh-CN"/>
        </w:rPr>
        <w:t>在</w:t>
      </w:r>
      <w:r>
        <w:rPr>
          <w:rFonts w:hint="eastAsia" w:ascii="微软雅黑" w:hAnsi="微软雅黑" w:eastAsia="微软雅黑" w:cs="微软雅黑"/>
          <w:color w:val="000000"/>
          <w:sz w:val="32"/>
          <w:szCs w:val="32"/>
        </w:rPr>
        <w:t>本合同履行过程</w:t>
      </w:r>
      <w:r>
        <w:rPr>
          <w:rFonts w:hint="eastAsia" w:ascii="微软雅黑" w:hAnsi="微软雅黑" w:eastAsia="微软雅黑" w:cs="微软雅黑"/>
          <w:color w:val="000000"/>
          <w:sz w:val="32"/>
          <w:szCs w:val="32"/>
          <w:lang w:eastAsia="zh-CN"/>
        </w:rPr>
        <w:t>中所</w:t>
      </w:r>
      <w:r>
        <w:rPr>
          <w:rFonts w:hint="eastAsia" w:ascii="微软雅黑" w:hAnsi="微软雅黑" w:eastAsia="微软雅黑" w:cs="微软雅黑"/>
          <w:color w:val="000000"/>
          <w:sz w:val="32"/>
          <w:szCs w:val="32"/>
        </w:rPr>
        <w:t>接触到的对方商业秘密、项目信息、招标工作涉密内容（包括但不限于遴选文</w:t>
      </w:r>
      <w:r>
        <w:rPr>
          <w:rFonts w:hint="eastAsia" w:ascii="微软雅黑" w:hAnsi="微软雅黑" w:eastAsia="微软雅黑" w:cs="微软雅黑"/>
          <w:color w:val="000000"/>
          <w:sz w:val="32"/>
          <w:szCs w:val="32"/>
        </w:rPr>
        <w:t>件相关核心信息、招标文件、投标文件、评标记录、标底等），</w:t>
      </w:r>
      <w:r>
        <w:rPr>
          <w:rFonts w:hint="eastAsia" w:ascii="微软雅黑" w:hAnsi="微软雅黑" w:eastAsia="微软雅黑" w:cs="微软雅黑"/>
          <w:color w:val="000000"/>
          <w:sz w:val="32"/>
          <w:szCs w:val="32"/>
          <w:lang w:eastAsia="zh-CN"/>
        </w:rPr>
        <w:t>均属于</w:t>
      </w:r>
      <w:r>
        <w:rPr>
          <w:rFonts w:hint="eastAsia" w:ascii="微软雅黑" w:hAnsi="微软雅黑" w:eastAsia="微软雅黑" w:cs="微软雅黑"/>
          <w:color w:val="000000"/>
          <w:sz w:val="32"/>
          <w:szCs w:val="32"/>
        </w:rPr>
        <w:t>保密信息；</w:t>
      </w:r>
    </w:p>
    <w:p w14:paraId="79EC457A">
      <w:pPr>
        <w:spacing w:line="240" w:lineRule="auto"/>
        <w:ind w:firstLine="640" w:firstLineChars="200"/>
        <w:rPr>
          <w:rFonts w:hint="eastAsia"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2</w:t>
      </w:r>
      <w:r>
        <w:rPr>
          <w:rFonts w:hint="eastAsia" w:ascii="微软雅黑" w:hAnsi="微软雅黑" w:eastAsia="微软雅黑" w:cs="微软雅黑"/>
          <w:color w:val="000000"/>
          <w:sz w:val="32"/>
          <w:szCs w:val="32"/>
          <w:lang w:eastAsia="zh-CN"/>
        </w:rPr>
        <w:t>、</w:t>
      </w:r>
      <w:r>
        <w:rPr>
          <w:rFonts w:hint="eastAsia" w:ascii="微软雅黑" w:hAnsi="微软雅黑" w:eastAsia="微软雅黑" w:cs="微软雅黑"/>
          <w:color w:val="000000"/>
          <w:sz w:val="32"/>
          <w:szCs w:val="32"/>
        </w:rPr>
        <w:t>任何一方不得向任何第三方泄露上述保密信息，除非法律法规要求公开、</w:t>
      </w:r>
      <w:r>
        <w:rPr>
          <w:rFonts w:hint="eastAsia" w:ascii="微软雅黑" w:hAnsi="微软雅黑" w:eastAsia="微软雅黑" w:cs="微软雅黑"/>
          <w:color w:val="000000"/>
          <w:sz w:val="32"/>
          <w:szCs w:val="32"/>
          <w:lang w:eastAsia="zh-CN"/>
        </w:rPr>
        <w:t>获得</w:t>
      </w:r>
      <w:r>
        <w:rPr>
          <w:rFonts w:hint="eastAsia" w:ascii="微软雅黑" w:hAnsi="微软雅黑" w:eastAsia="微软雅黑" w:cs="微软雅黑"/>
          <w:color w:val="000000"/>
          <w:sz w:val="32"/>
          <w:szCs w:val="32"/>
        </w:rPr>
        <w:t>对方书面同意或为履行本合同</w:t>
      </w:r>
      <w:r>
        <w:rPr>
          <w:rFonts w:hint="eastAsia" w:ascii="微软雅黑" w:hAnsi="微软雅黑" w:eastAsia="微软雅黑" w:cs="微软雅黑"/>
          <w:color w:val="000000"/>
          <w:sz w:val="32"/>
          <w:szCs w:val="32"/>
          <w:lang w:eastAsia="zh-CN"/>
        </w:rPr>
        <w:t>所</w:t>
      </w:r>
      <w:r>
        <w:rPr>
          <w:rFonts w:hint="eastAsia" w:ascii="微软雅黑" w:hAnsi="微软雅黑" w:eastAsia="微软雅黑" w:cs="微软雅黑"/>
          <w:color w:val="000000"/>
          <w:sz w:val="32"/>
          <w:szCs w:val="32"/>
        </w:rPr>
        <w:t>必需；</w:t>
      </w:r>
    </w:p>
    <w:p w14:paraId="5559ED05">
      <w:pPr>
        <w:spacing w:line="240" w:lineRule="auto"/>
        <w:ind w:firstLine="640" w:firstLineChars="200"/>
        <w:rPr>
          <w:rFonts w:hint="eastAsia"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3</w:t>
      </w:r>
      <w:r>
        <w:rPr>
          <w:rFonts w:hint="eastAsia" w:ascii="微软雅黑" w:hAnsi="微软雅黑" w:eastAsia="微软雅黑" w:cs="微软雅黑"/>
          <w:color w:val="000000"/>
          <w:sz w:val="32"/>
          <w:szCs w:val="32"/>
          <w:lang w:eastAsia="zh-CN"/>
        </w:rPr>
        <w:t>、</w:t>
      </w:r>
      <w:r>
        <w:rPr>
          <w:rFonts w:hint="eastAsia" w:ascii="微软雅黑" w:hAnsi="微软雅黑" w:eastAsia="微软雅黑" w:cs="微软雅黑"/>
          <w:color w:val="000000"/>
          <w:sz w:val="32"/>
          <w:szCs w:val="32"/>
        </w:rPr>
        <w:t>本保密条款在本合同终止后【3】年内持续有效，双方仍需严格履行保密义务。</w:t>
      </w:r>
    </w:p>
    <w:p w14:paraId="148AAB1D">
      <w:pPr>
        <w:spacing w:line="240" w:lineRule="auto"/>
        <w:ind w:firstLine="640" w:firstLineChars="200"/>
        <w:rPr>
          <w:rFonts w:hint="eastAsia" w:ascii="微软雅黑" w:hAnsi="微软雅黑" w:eastAsia="微软雅黑" w:cs="微软雅黑"/>
          <w:color w:val="000000"/>
          <w:sz w:val="32"/>
          <w:szCs w:val="32"/>
          <w:lang w:eastAsia="zh-CN"/>
        </w:rPr>
      </w:pPr>
      <w:r>
        <w:rPr>
          <w:rFonts w:hint="eastAsia" w:ascii="微软雅黑" w:hAnsi="微软雅黑" w:eastAsia="微软雅黑" w:cs="微软雅黑"/>
          <w:color w:val="000000"/>
          <w:sz w:val="32"/>
          <w:szCs w:val="32"/>
          <w:lang w:val="en-US" w:eastAsia="zh-CN"/>
        </w:rPr>
        <w:t>4、</w:t>
      </w:r>
      <w:r>
        <w:rPr>
          <w:rFonts w:hint="eastAsia" w:ascii="微软雅黑" w:hAnsi="微软雅黑" w:eastAsia="微软雅黑" w:cs="微软雅黑"/>
          <w:color w:val="000000"/>
          <w:sz w:val="32"/>
          <w:szCs w:val="32"/>
        </w:rPr>
        <w:t>任何一方违反保密义务，泄露涉密信息，给对方造成损失的，需承担全部赔偿责任，受损方有权单方终止合同</w:t>
      </w:r>
      <w:r>
        <w:rPr>
          <w:rFonts w:hint="eastAsia" w:ascii="微软雅黑" w:hAnsi="微软雅黑" w:eastAsia="微软雅黑" w:cs="微软雅黑"/>
          <w:color w:val="000000"/>
          <w:sz w:val="32"/>
          <w:szCs w:val="32"/>
          <w:lang w:eastAsia="zh-CN"/>
        </w:rPr>
        <w:t>。</w:t>
      </w:r>
    </w:p>
    <w:p w14:paraId="205E4858">
      <w:pPr>
        <w:spacing w:line="240" w:lineRule="auto"/>
        <w:ind w:firstLine="640" w:firstLineChars="2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八</w:t>
      </w:r>
      <w:r>
        <w:rPr>
          <w:rFonts w:hint="eastAsia" w:ascii="微软雅黑" w:hAnsi="微软雅黑" w:eastAsia="微软雅黑" w:cs="微软雅黑"/>
          <w:b/>
          <w:bCs/>
          <w:sz w:val="32"/>
          <w:szCs w:val="32"/>
        </w:rPr>
        <w:t>、关于争议的解决</w:t>
      </w:r>
    </w:p>
    <w:p w14:paraId="5522CD09">
      <w:pPr>
        <w:spacing w:line="240" w:lineRule="auto"/>
        <w:ind w:firstLine="640" w:firstLineChars="200"/>
        <w:rPr>
          <w:rFonts w:hint="eastAsia" w:ascii="微软雅黑" w:hAnsi="微软雅黑" w:eastAsia="微软雅黑" w:cs="微软雅黑"/>
          <w:lang w:eastAsia="zh-CN"/>
        </w:rPr>
      </w:pPr>
      <w:r>
        <w:rPr>
          <w:rFonts w:hint="eastAsia" w:ascii="微软雅黑" w:hAnsi="微软雅黑" w:eastAsia="微软雅黑" w:cs="微软雅黑"/>
          <w:color w:val="000000"/>
          <w:sz w:val="32"/>
          <w:szCs w:val="32"/>
          <w:lang w:eastAsia="zh-CN"/>
        </w:rPr>
        <w:t>在合同履行过程中发生争议，双方应协商解决。若双方不愿协商、调解解决，或协商、调解不成，双方商定，采用以下第</w:t>
      </w:r>
      <w:r>
        <w:rPr>
          <w:rFonts w:hint="eastAsia" w:ascii="微软雅黑" w:hAnsi="微软雅黑" w:eastAsia="微软雅黑" w:cs="微软雅黑"/>
          <w:b/>
          <w:bCs/>
          <w:color w:val="000000"/>
          <w:sz w:val="32"/>
          <w:szCs w:val="32"/>
          <w:lang w:eastAsia="zh-CN"/>
        </w:rPr>
        <w:t>【</w:t>
      </w:r>
      <w:r>
        <w:rPr>
          <w:rFonts w:hint="eastAsia" w:ascii="微软雅黑" w:hAnsi="微软雅黑" w:eastAsia="微软雅黑" w:cs="微软雅黑"/>
          <w:bCs/>
          <w:color w:val="000000"/>
          <w:sz w:val="32"/>
          <w:szCs w:val="32"/>
          <w:lang w:eastAsia="zh-CN"/>
        </w:rPr>
        <w:t>二</w:t>
      </w:r>
      <w:r>
        <w:rPr>
          <w:rFonts w:hint="eastAsia" w:ascii="微软雅黑" w:hAnsi="微软雅黑" w:eastAsia="微软雅黑" w:cs="微软雅黑"/>
          <w:b/>
          <w:bCs/>
          <w:color w:val="000000"/>
          <w:sz w:val="32"/>
          <w:szCs w:val="32"/>
          <w:lang w:eastAsia="zh-CN"/>
        </w:rPr>
        <w:t>】</w:t>
      </w:r>
      <w:r>
        <w:rPr>
          <w:rFonts w:hint="eastAsia" w:ascii="微软雅黑" w:hAnsi="微软雅黑" w:eastAsia="微软雅黑" w:cs="微软雅黑"/>
          <w:color w:val="000000"/>
          <w:sz w:val="32"/>
          <w:szCs w:val="32"/>
          <w:lang w:eastAsia="zh-CN"/>
        </w:rPr>
        <w:t>种方式解决。</w:t>
      </w:r>
    </w:p>
    <w:p w14:paraId="4D795EE4">
      <w:pPr>
        <w:spacing w:line="240" w:lineRule="auto"/>
        <w:ind w:firstLine="640" w:firstLineChars="200"/>
        <w:rPr>
          <w:rFonts w:hint="eastAsia"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（一）因本合同</w:t>
      </w:r>
      <w:r>
        <w:rPr>
          <w:rFonts w:hint="eastAsia" w:ascii="微软雅黑" w:hAnsi="微软雅黑" w:eastAsia="微软雅黑" w:cs="微软雅黑"/>
          <w:color w:val="000000"/>
          <w:sz w:val="32"/>
          <w:szCs w:val="32"/>
          <w:lang w:eastAsia="zh-CN"/>
        </w:rPr>
        <w:t>所产生</w:t>
      </w:r>
      <w:r>
        <w:rPr>
          <w:rFonts w:hint="eastAsia" w:ascii="微软雅黑" w:hAnsi="微软雅黑" w:eastAsia="微软雅黑" w:cs="微软雅黑"/>
          <w:color w:val="000000"/>
          <w:sz w:val="32"/>
          <w:szCs w:val="32"/>
        </w:rPr>
        <w:t>的任何争议，申请</w:t>
      </w:r>
      <w:r>
        <w:rPr>
          <w:rFonts w:hint="eastAsia" w:ascii="微软雅黑" w:hAnsi="微软雅黑" w:eastAsia="微软雅黑" w:cs="微软雅黑"/>
          <w:b/>
          <w:bCs/>
          <w:color w:val="000000"/>
          <w:sz w:val="32"/>
          <w:szCs w:val="32"/>
        </w:rPr>
        <w:t>【</w:t>
      </w:r>
      <w:r>
        <w:rPr>
          <w:rFonts w:hint="eastAsia" w:ascii="微软雅黑" w:hAnsi="微软雅黑" w:eastAsia="微软雅黑" w:cs="微软雅黑"/>
          <w:bCs/>
          <w:color w:val="000000"/>
          <w:sz w:val="32"/>
          <w:szCs w:val="32"/>
        </w:rPr>
        <w:t>\</w:t>
      </w:r>
      <w:r>
        <w:rPr>
          <w:rFonts w:hint="eastAsia" w:ascii="微软雅黑" w:hAnsi="微软雅黑" w:eastAsia="微软雅黑" w:cs="微软雅黑"/>
          <w:b/>
          <w:bCs/>
          <w:color w:val="000000"/>
          <w:sz w:val="32"/>
          <w:szCs w:val="32"/>
        </w:rPr>
        <w:t>】</w:t>
      </w:r>
      <w:r>
        <w:rPr>
          <w:rFonts w:hint="eastAsia" w:ascii="微软雅黑" w:hAnsi="微软雅黑" w:eastAsia="微软雅黑" w:cs="微软雅黑"/>
          <w:color w:val="000000"/>
          <w:sz w:val="32"/>
          <w:szCs w:val="32"/>
        </w:rPr>
        <w:t>仲裁。</w:t>
      </w:r>
    </w:p>
    <w:p w14:paraId="59B105D2">
      <w:pPr>
        <w:spacing w:line="240" w:lineRule="auto"/>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color w:val="000000"/>
          <w:sz w:val="32"/>
          <w:szCs w:val="32"/>
        </w:rPr>
        <w:t>（二）向</w:t>
      </w:r>
      <w:r>
        <w:rPr>
          <w:rFonts w:hint="eastAsia" w:ascii="微软雅黑" w:hAnsi="微软雅黑" w:eastAsia="微软雅黑" w:cs="微软雅黑"/>
          <w:b/>
          <w:bCs/>
          <w:color w:val="000000"/>
          <w:sz w:val="32"/>
          <w:szCs w:val="32"/>
        </w:rPr>
        <w:t>【</w:t>
      </w:r>
      <w:r>
        <w:rPr>
          <w:rFonts w:hint="eastAsia" w:ascii="微软雅黑" w:hAnsi="微软雅黑" w:eastAsia="微软雅黑" w:cs="微软雅黑"/>
          <w:bCs/>
          <w:color w:val="000000"/>
          <w:sz w:val="32"/>
          <w:szCs w:val="32"/>
        </w:rPr>
        <w:t>甲方</w:t>
      </w:r>
      <w:r>
        <w:rPr>
          <w:rFonts w:hint="eastAsia" w:ascii="微软雅黑" w:hAnsi="微软雅黑" w:eastAsia="微软雅黑" w:cs="微软雅黑"/>
          <w:b/>
          <w:bCs/>
          <w:color w:val="000000"/>
          <w:sz w:val="32"/>
          <w:szCs w:val="32"/>
        </w:rPr>
        <w:t>】</w:t>
      </w:r>
      <w:r>
        <w:rPr>
          <w:rFonts w:hint="eastAsia" w:ascii="微软雅黑" w:hAnsi="微软雅黑" w:eastAsia="微软雅黑" w:cs="微软雅黑"/>
          <w:color w:val="000000"/>
          <w:sz w:val="32"/>
          <w:szCs w:val="32"/>
        </w:rPr>
        <w:t>所在地法院提起诉讼。</w:t>
      </w:r>
    </w:p>
    <w:p w14:paraId="5AB5DE91">
      <w:pPr>
        <w:spacing w:line="240" w:lineRule="auto"/>
        <w:ind w:firstLine="640" w:firstLineChars="20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九</w:t>
      </w:r>
      <w:r>
        <w:rPr>
          <w:rFonts w:hint="eastAsia" w:ascii="微软雅黑" w:hAnsi="微软雅黑" w:eastAsia="微软雅黑" w:cs="微软雅黑"/>
          <w:b/>
          <w:bCs/>
          <w:sz w:val="32"/>
          <w:szCs w:val="32"/>
        </w:rPr>
        <w:t>、本协议的生效、</w:t>
      </w:r>
      <w:r>
        <w:rPr>
          <w:rFonts w:hint="eastAsia" w:ascii="微软雅黑" w:hAnsi="微软雅黑" w:eastAsia="微软雅黑" w:cs="微软雅黑"/>
          <w:b/>
          <w:bCs/>
          <w:sz w:val="32"/>
          <w:szCs w:val="32"/>
          <w:lang w:val="en-US" w:eastAsia="zh-CN"/>
        </w:rPr>
        <w:t>变更与</w:t>
      </w:r>
      <w:r>
        <w:rPr>
          <w:rFonts w:hint="eastAsia" w:ascii="微软雅黑" w:hAnsi="微软雅黑" w:eastAsia="微软雅黑" w:cs="微软雅黑"/>
          <w:b/>
          <w:bCs/>
          <w:sz w:val="32"/>
          <w:szCs w:val="32"/>
        </w:rPr>
        <w:t>终止</w:t>
      </w:r>
    </w:p>
    <w:p w14:paraId="357CC6C1">
      <w:pPr>
        <w:spacing w:line="240" w:lineRule="auto"/>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（一）协议自【双方签字并盖章之日起】生效。</w:t>
      </w:r>
    </w:p>
    <w:p w14:paraId="16425316">
      <w:pPr>
        <w:spacing w:line="240" w:lineRule="auto"/>
        <w:ind w:firstLine="640" w:firstLineChars="200"/>
        <w:rPr>
          <w:rFonts w:hint="eastAsia" w:ascii="微软雅黑" w:hAnsi="微软雅黑" w:eastAsia="微软雅黑" w:cs="微软雅黑"/>
          <w:lang w:eastAsia="zh-CN"/>
        </w:rPr>
      </w:pPr>
      <w:r>
        <w:rPr>
          <w:rFonts w:hint="eastAsia" w:ascii="微软雅黑" w:hAnsi="微软雅黑" w:eastAsia="微软雅黑" w:cs="微软雅黑"/>
          <w:sz w:val="32"/>
          <w:szCs w:val="32"/>
          <w:lang w:eastAsia="zh-CN"/>
        </w:rPr>
        <w:t>（二）订立地点：</w:t>
      </w:r>
      <w:r>
        <w:rPr>
          <w:rFonts w:hint="eastAsia" w:ascii="微软雅黑" w:hAnsi="微软雅黑" w:eastAsia="微软雅黑" w:cs="微软雅黑"/>
          <w:sz w:val="32"/>
          <w:szCs w:val="32"/>
          <w:u w:val="single"/>
          <w:lang w:eastAsia="zh-CN"/>
        </w:rPr>
        <w:t>北京市通州区</w:t>
      </w:r>
    </w:p>
    <w:p w14:paraId="63930E93">
      <w:pPr>
        <w:spacing w:line="240" w:lineRule="auto"/>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（三）本协议【自乙方完成本协议规定的全部工作内容后】终止。</w:t>
      </w:r>
    </w:p>
    <w:p w14:paraId="2C3EB65F">
      <w:pPr>
        <w:spacing w:line="240" w:lineRule="auto"/>
        <w:ind w:firstLine="640"/>
        <w:rPr>
          <w:rFonts w:hint="eastAsia" w:ascii="微软雅黑" w:hAnsi="微软雅黑" w:eastAsia="微软雅黑" w:cs="微软雅黑"/>
          <w:sz w:val="32"/>
          <w:szCs w:val="32"/>
        </w:rPr>
      </w:pPr>
      <w:r>
        <w:rPr>
          <w:rFonts w:hint="eastAsia" w:ascii="微软雅黑" w:hAnsi="微软雅黑" w:eastAsia="微软雅黑" w:cs="微软雅黑"/>
          <w:sz w:val="32"/>
          <w:szCs w:val="32"/>
        </w:rPr>
        <w:t>（四）本协议的权利义务终止后，甲乙双方</w:t>
      </w:r>
      <w:r>
        <w:rPr>
          <w:rFonts w:hint="eastAsia" w:ascii="微软雅黑" w:hAnsi="微软雅黑" w:eastAsia="微软雅黑" w:cs="微软雅黑"/>
          <w:sz w:val="32"/>
          <w:szCs w:val="32"/>
          <w:lang w:eastAsia="zh-CN"/>
        </w:rPr>
        <w:t>应</w:t>
      </w:r>
      <w:r>
        <w:rPr>
          <w:rFonts w:hint="eastAsia" w:ascii="微软雅黑" w:hAnsi="微软雅黑" w:eastAsia="微软雅黑" w:cs="微软雅黑"/>
          <w:sz w:val="32"/>
          <w:szCs w:val="32"/>
        </w:rPr>
        <w:t>遵循诚实信用原则，履行通知、协助、保密等义务。</w:t>
      </w:r>
    </w:p>
    <w:p w14:paraId="0F4998C1">
      <w:pPr>
        <w:spacing w:line="240" w:lineRule="auto"/>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五</w:t>
      </w:r>
      <w:r>
        <w:rPr>
          <w:rFonts w:hint="eastAsia" w:ascii="微软雅黑" w:hAnsi="微软雅黑" w:eastAsia="微软雅黑" w:cs="微软雅黑"/>
          <w:sz w:val="32"/>
          <w:szCs w:val="32"/>
        </w:rPr>
        <w:t>）出现本合同约定的解除情形（如乙方违约、评估不合格等），守约方有权单方解除合同，并书面通知违约方，合同自通知送达之日起解除</w:t>
      </w:r>
      <w:r>
        <w:rPr>
          <w:rFonts w:hint="eastAsia" w:ascii="微软雅黑" w:hAnsi="微软雅黑" w:eastAsia="微软雅黑" w:cs="微软雅黑"/>
          <w:sz w:val="32"/>
          <w:szCs w:val="32"/>
          <w:lang w:eastAsia="zh-CN"/>
        </w:rPr>
        <w:t>。</w:t>
      </w:r>
    </w:p>
    <w:p w14:paraId="40899761">
      <w:pPr>
        <w:spacing w:line="240" w:lineRule="auto"/>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六</w:t>
      </w:r>
      <w:r>
        <w:rPr>
          <w:rFonts w:hint="eastAsia" w:ascii="微软雅黑" w:hAnsi="微软雅黑" w:eastAsia="微软雅黑" w:cs="微软雅黑"/>
          <w:sz w:val="32"/>
          <w:szCs w:val="32"/>
          <w:lang w:eastAsia="zh-CN"/>
        </w:rPr>
        <w:t>）合同终止或解除后，双方需按照约定完成工作交接、资料归档及费用结算，乙方需配合甲方做好后续衔接工作，不得无故拖延、拒绝。</w:t>
      </w:r>
    </w:p>
    <w:p w14:paraId="122DCA24">
      <w:pPr>
        <w:spacing w:line="240" w:lineRule="auto"/>
        <w:ind w:firstLine="640" w:firstLineChars="200"/>
        <w:rPr>
          <w:rFonts w:hint="eastAsia" w:ascii="微软雅黑" w:hAnsi="微软雅黑" w:eastAsia="微软雅黑" w:cs="微软雅黑"/>
          <w:color w:val="000000"/>
          <w:sz w:val="32"/>
          <w:szCs w:val="32"/>
        </w:rPr>
      </w:pPr>
      <w:r>
        <w:rPr>
          <w:rFonts w:hint="eastAsia" w:ascii="微软雅黑" w:hAnsi="微软雅黑" w:eastAsia="微软雅黑" w:cs="微软雅黑"/>
          <w:color w:val="000000"/>
          <w:sz w:val="32"/>
          <w:szCs w:val="32"/>
          <w:lang w:eastAsia="zh-CN"/>
        </w:rPr>
        <w:t>（</w:t>
      </w:r>
      <w:r>
        <w:rPr>
          <w:rFonts w:hint="eastAsia" w:ascii="微软雅黑" w:hAnsi="微软雅黑" w:eastAsia="微软雅黑" w:cs="微软雅黑"/>
          <w:color w:val="000000"/>
          <w:sz w:val="32"/>
          <w:szCs w:val="32"/>
          <w:lang w:val="en-US" w:eastAsia="zh-CN"/>
        </w:rPr>
        <w:t>七</w:t>
      </w:r>
      <w:r>
        <w:rPr>
          <w:rFonts w:hint="eastAsia" w:ascii="微软雅黑" w:hAnsi="微软雅黑" w:eastAsia="微软雅黑" w:cs="微软雅黑"/>
          <w:color w:val="000000"/>
          <w:sz w:val="32"/>
          <w:szCs w:val="32"/>
          <w:lang w:eastAsia="zh-CN"/>
        </w:rPr>
        <w:t>）</w:t>
      </w:r>
      <w:r>
        <w:rPr>
          <w:rFonts w:hint="eastAsia" w:ascii="微软雅黑" w:hAnsi="微软雅黑" w:eastAsia="微软雅黑" w:cs="微软雅黑"/>
          <w:color w:val="000000"/>
          <w:sz w:val="32"/>
          <w:szCs w:val="32"/>
        </w:rPr>
        <w:t>本合同一式</w:t>
      </w:r>
      <w:r>
        <w:rPr>
          <w:rFonts w:hint="eastAsia" w:ascii="微软雅黑" w:hAnsi="微软雅黑" w:eastAsia="微软雅黑" w:cs="微软雅黑"/>
          <w:b/>
          <w:bCs/>
          <w:color w:val="000000"/>
          <w:sz w:val="32"/>
          <w:szCs w:val="32"/>
        </w:rPr>
        <w:t>【陆】</w:t>
      </w:r>
      <w:r>
        <w:rPr>
          <w:rFonts w:hint="eastAsia" w:ascii="微软雅黑" w:hAnsi="微软雅黑" w:eastAsia="微软雅黑" w:cs="微软雅黑"/>
          <w:color w:val="000000"/>
          <w:sz w:val="32"/>
          <w:szCs w:val="32"/>
        </w:rPr>
        <w:t>份，甲方执</w:t>
      </w:r>
      <w:r>
        <w:rPr>
          <w:rFonts w:hint="eastAsia" w:ascii="微软雅黑" w:hAnsi="微软雅黑" w:eastAsia="微软雅黑" w:cs="微软雅黑"/>
          <w:b/>
          <w:bCs/>
          <w:color w:val="000000"/>
          <w:sz w:val="32"/>
          <w:szCs w:val="32"/>
        </w:rPr>
        <w:t>【叁】份</w:t>
      </w:r>
      <w:r>
        <w:rPr>
          <w:rFonts w:hint="eastAsia" w:ascii="微软雅黑" w:hAnsi="微软雅黑" w:eastAsia="微软雅黑" w:cs="微软雅黑"/>
          <w:color w:val="000000"/>
          <w:sz w:val="32"/>
          <w:szCs w:val="32"/>
        </w:rPr>
        <w:t>，乙方执</w:t>
      </w:r>
      <w:r>
        <w:rPr>
          <w:rFonts w:hint="eastAsia" w:ascii="微软雅黑" w:hAnsi="微软雅黑" w:eastAsia="微软雅黑" w:cs="微软雅黑"/>
          <w:b/>
          <w:bCs/>
          <w:color w:val="000000"/>
          <w:sz w:val="32"/>
          <w:szCs w:val="32"/>
        </w:rPr>
        <w:t>【叁】</w:t>
      </w:r>
      <w:r>
        <w:rPr>
          <w:rFonts w:hint="eastAsia" w:ascii="微软雅黑" w:hAnsi="微软雅黑" w:eastAsia="微软雅黑" w:cs="微软雅黑"/>
          <w:color w:val="000000"/>
          <w:sz w:val="32"/>
          <w:szCs w:val="32"/>
        </w:rPr>
        <w:t>份。</w:t>
      </w:r>
    </w:p>
    <w:p w14:paraId="6A648601">
      <w:pPr>
        <w:spacing w:line="240" w:lineRule="auto"/>
        <w:ind w:firstLine="640"/>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十、</w:t>
      </w:r>
      <w:r>
        <w:rPr>
          <w:rFonts w:hint="eastAsia" w:ascii="微软雅黑" w:hAnsi="微软雅黑" w:eastAsia="微软雅黑" w:cs="微软雅黑"/>
          <w:b/>
          <w:bCs/>
          <w:sz w:val="32"/>
          <w:szCs w:val="32"/>
        </w:rPr>
        <w:t>其他约定</w:t>
      </w:r>
    </w:p>
    <w:p w14:paraId="7A28BB3B">
      <w:pPr>
        <w:spacing w:line="240" w:lineRule="auto"/>
        <w:ind w:firstLine="600" w:firstLineChars="200"/>
        <w:outlineLvl w:val="0"/>
        <w:rPr>
          <w:rFonts w:hint="eastAsia" w:ascii="微软雅黑" w:hAnsi="微软雅黑" w:eastAsia="微软雅黑" w:cs="微软雅黑"/>
          <w:sz w:val="30"/>
          <w:lang w:eastAsia="zh-CN"/>
        </w:rPr>
      </w:pPr>
      <w:r>
        <w:rPr>
          <w:rFonts w:hint="eastAsia" w:ascii="微软雅黑" w:hAnsi="微软雅黑" w:eastAsia="微软雅黑" w:cs="微软雅黑"/>
          <w:sz w:val="30"/>
          <w:lang w:val="en-US" w:eastAsia="zh-CN"/>
        </w:rPr>
        <w:t>1、</w:t>
      </w:r>
      <w:r>
        <w:rPr>
          <w:rFonts w:hint="eastAsia" w:ascii="微软雅黑" w:hAnsi="微软雅黑" w:eastAsia="微软雅黑" w:cs="微软雅黑"/>
          <w:sz w:val="30"/>
        </w:rPr>
        <w:t>本合同未尽事宜，双方可另行协商并签订补充协议，补充协议与本合同具有同等法律效力</w:t>
      </w:r>
      <w:r>
        <w:rPr>
          <w:rFonts w:hint="eastAsia" w:ascii="微软雅黑" w:hAnsi="微软雅黑" w:eastAsia="微软雅黑" w:cs="微软雅黑"/>
          <w:sz w:val="30"/>
          <w:lang w:eastAsia="zh-CN"/>
        </w:rPr>
        <w:t>。</w:t>
      </w:r>
    </w:p>
    <w:p w14:paraId="0BA6C1EB">
      <w:pPr>
        <w:spacing w:line="240" w:lineRule="auto"/>
        <w:ind w:firstLine="600" w:firstLineChars="200"/>
        <w:outlineLvl w:val="0"/>
        <w:rPr>
          <w:rFonts w:hint="eastAsia" w:ascii="微软雅黑" w:hAnsi="微软雅黑" w:eastAsia="微软雅黑" w:cs="微软雅黑"/>
          <w:sz w:val="30"/>
          <w:lang w:val="en-US" w:eastAsia="zh-CN"/>
        </w:rPr>
      </w:pPr>
      <w:r>
        <w:rPr>
          <w:rFonts w:hint="eastAsia" w:ascii="微软雅黑" w:hAnsi="微软雅黑" w:eastAsia="微软雅黑" w:cs="微软雅黑"/>
          <w:sz w:val="30"/>
          <w:lang w:val="en-US" w:eastAsia="zh-CN"/>
        </w:rPr>
        <w:t>2、乙方应在合同中提交资格证明文件、实施方案、拟派人员、报价函等相关资料，并将其作为本合同附件，与本合同具有同等法律效力。</w:t>
      </w:r>
    </w:p>
    <w:p w14:paraId="7171FB36">
      <w:pPr>
        <w:spacing w:line="240" w:lineRule="auto"/>
        <w:ind w:firstLine="600" w:firstLineChars="200"/>
        <w:outlineLvl w:val="0"/>
        <w:rPr>
          <w:rFonts w:hint="eastAsia" w:ascii="仿宋_GB2312" w:hAnsi="仿宋_GB2312" w:eastAsia="仿宋_GB2312" w:cs="仿宋_GB2312"/>
          <w:color w:val="000000"/>
          <w:sz w:val="32"/>
          <w:szCs w:val="32"/>
        </w:rPr>
      </w:pPr>
      <w:r>
        <w:rPr>
          <w:rFonts w:hint="eastAsia" w:ascii="微软雅黑" w:hAnsi="微软雅黑" w:eastAsia="微软雅黑" w:cs="微软雅黑"/>
          <w:sz w:val="30"/>
          <w:lang w:val="en-US" w:eastAsia="zh-CN"/>
        </w:rPr>
        <w:t>3、</w:t>
      </w:r>
      <w:r>
        <w:rPr>
          <w:rFonts w:hint="eastAsia" w:ascii="微软雅黑" w:hAnsi="微软雅黑" w:eastAsia="微软雅黑" w:cs="微软雅黑"/>
          <w:sz w:val="30"/>
        </w:rPr>
        <w:t>甲方发现乙方存在未按本协议约定</w:t>
      </w:r>
      <w:r>
        <w:rPr>
          <w:rFonts w:hint="eastAsia" w:ascii="微软雅黑" w:hAnsi="微软雅黑" w:eastAsia="微软雅黑" w:cs="微软雅黑"/>
          <w:sz w:val="30"/>
          <w:lang w:eastAsia="zh-CN"/>
        </w:rPr>
        <w:t>以及</w:t>
      </w:r>
      <w:r>
        <w:rPr>
          <w:rFonts w:hint="eastAsia" w:ascii="微软雅黑" w:hAnsi="微软雅黑" w:eastAsia="微软雅黑" w:cs="微软雅黑"/>
          <w:sz w:val="30"/>
        </w:rPr>
        <w:t>《中华人民共和国政府采购法》、《政府采购法实施条例》等相关规定履行本协议项下政府采购相关义务的，有权开展调查。经调查核实乙方存在上述违约行为的，甲方应要求乙方在30日内采取补救措施。若乙方未在指定期限内完成补救或补救后仍不符合要求的，甲方有权暂停向乙方委托后续同类政府采购项目，暂停期限为一年。</w:t>
      </w:r>
      <w:r>
        <w:rPr>
          <w:rFonts w:hint="eastAsia" w:ascii="微软雅黑" w:hAnsi="微软雅黑" w:eastAsia="微软雅黑" w:cs="微软雅黑"/>
          <w:sz w:val="30"/>
          <w:lang w:eastAsia="zh-CN"/>
        </w:rPr>
        <w:t xml:space="preserve"> </w:t>
      </w:r>
      <w:r>
        <w:rPr>
          <w:rFonts w:hint="eastAsia" w:ascii="仿宋_GB2312" w:hAnsi="仿宋_GB2312" w:eastAsia="仿宋_GB2312" w:cs="仿宋_GB2312"/>
          <w:sz w:val="30"/>
        </w:rPr>
        <w:br w:type="page"/>
      </w:r>
      <w:r>
        <w:rPr>
          <w:rFonts w:hint="eastAsia" w:ascii="仿宋_GB2312" w:hAnsi="仿宋_GB2312" w:eastAsia="仿宋_GB2312" w:cs="仿宋_GB2312"/>
          <w:color w:val="000000"/>
          <w:sz w:val="32"/>
          <w:szCs w:val="32"/>
        </w:rPr>
        <w:t>（本页为签字页）</w:t>
      </w:r>
    </w:p>
    <w:tbl>
      <w:tblPr>
        <w:tblStyle w:val="7"/>
        <w:tblpPr w:leftFromText="180" w:rightFromText="180" w:vertAnchor="text" w:horzAnchor="page" w:tblpX="1736" w:tblpY="224"/>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9"/>
        <w:gridCol w:w="2236"/>
        <w:gridCol w:w="2560"/>
        <w:gridCol w:w="1656"/>
        <w:gridCol w:w="1844"/>
      </w:tblGrid>
      <w:tr w14:paraId="4328B496">
        <w:tblPrEx>
          <w:tblLayout w:type="fixed"/>
        </w:tblPrEx>
        <w:trPr>
          <w:cantSplit/>
          <w:trHeight w:val="624" w:hRule="atLeast"/>
        </w:trPr>
        <w:tc>
          <w:tcPr>
            <w:tcW w:w="719" w:type="dxa"/>
            <w:vMerge w:val="restart"/>
            <w:vAlign w:val="center"/>
          </w:tcPr>
          <w:p w14:paraId="4D448628">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w:t>
            </w:r>
          </w:p>
          <w:p w14:paraId="49A1E90C">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w:t>
            </w:r>
          </w:p>
        </w:tc>
        <w:tc>
          <w:tcPr>
            <w:tcW w:w="2236" w:type="dxa"/>
            <w:vAlign w:val="center"/>
          </w:tcPr>
          <w:p w14:paraId="7DD7B1B7">
            <w:pPr>
              <w:kinsoku w:val="0"/>
              <w:overflowPunct w:val="0"/>
              <w:autoSpaceDE w:val="0"/>
              <w:autoSpaceDN w:val="0"/>
              <w:snapToGrid w:val="0"/>
              <w:jc w:val="center"/>
              <w:rPr>
                <w:rFonts w:hint="eastAsia" w:ascii="仿宋_GB2312" w:hAnsi="仿宋_GB2312" w:eastAsia="仿宋_GB2312" w:cs="仿宋_GB2312"/>
                <w:sz w:val="28"/>
                <w:szCs w:val="28"/>
                <w:lang w:val="en-GB"/>
              </w:rPr>
            </w:pPr>
            <w:r>
              <w:rPr>
                <w:rFonts w:hint="eastAsia" w:ascii="仿宋_GB2312" w:hAnsi="仿宋_GB2312" w:eastAsia="仿宋_GB2312" w:cs="仿宋_GB2312"/>
                <w:sz w:val="28"/>
                <w:szCs w:val="28"/>
              </w:rPr>
              <w:t>单位名</w:t>
            </w:r>
            <w:r>
              <w:rPr>
                <w:rFonts w:hint="eastAsia" w:ascii="仿宋_GB2312" w:hAnsi="仿宋_GB2312" w:eastAsia="仿宋_GB2312" w:cs="仿宋_GB2312"/>
                <w:sz w:val="28"/>
                <w:szCs w:val="28"/>
                <w:lang w:val="en-GB"/>
              </w:rPr>
              <w:t>称（盖章）</w:t>
            </w:r>
          </w:p>
        </w:tc>
        <w:tc>
          <w:tcPr>
            <w:tcW w:w="6060" w:type="dxa"/>
            <w:gridSpan w:val="3"/>
            <w:vAlign w:val="center"/>
          </w:tcPr>
          <w:p w14:paraId="3E71B5E0">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4A9B7188">
        <w:tblPrEx>
          <w:tblLayout w:type="fixed"/>
        </w:tblPrEx>
        <w:trPr>
          <w:cantSplit/>
          <w:trHeight w:val="624" w:hRule="atLeast"/>
        </w:trPr>
        <w:tc>
          <w:tcPr>
            <w:tcW w:w="719" w:type="dxa"/>
            <w:vMerge w:val="continue"/>
            <w:vAlign w:val="center"/>
          </w:tcPr>
          <w:p w14:paraId="6CA16C94">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504FF9B7">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法定代表人或委托代理人（签字）</w:t>
            </w:r>
          </w:p>
        </w:tc>
        <w:tc>
          <w:tcPr>
            <w:tcW w:w="6060" w:type="dxa"/>
            <w:gridSpan w:val="3"/>
            <w:vAlign w:val="center"/>
          </w:tcPr>
          <w:p w14:paraId="05697FAA">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06F77C8F">
        <w:tblPrEx>
          <w:tblLayout w:type="fixed"/>
        </w:tblPrEx>
        <w:trPr>
          <w:cantSplit/>
          <w:trHeight w:val="624" w:hRule="atLeast"/>
        </w:trPr>
        <w:tc>
          <w:tcPr>
            <w:tcW w:w="719" w:type="dxa"/>
            <w:vMerge w:val="continue"/>
            <w:vAlign w:val="center"/>
          </w:tcPr>
          <w:p w14:paraId="27479623">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71DA99C6">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p>
        </w:tc>
        <w:tc>
          <w:tcPr>
            <w:tcW w:w="6060" w:type="dxa"/>
            <w:gridSpan w:val="3"/>
            <w:vAlign w:val="center"/>
          </w:tcPr>
          <w:p w14:paraId="088CF1F0">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5B6756BF">
        <w:tblPrEx>
          <w:tblLayout w:type="fixed"/>
        </w:tblPrEx>
        <w:trPr>
          <w:cantSplit/>
          <w:trHeight w:val="618" w:hRule="atLeast"/>
        </w:trPr>
        <w:tc>
          <w:tcPr>
            <w:tcW w:w="719" w:type="dxa"/>
            <w:vMerge w:val="continue"/>
            <w:vAlign w:val="center"/>
          </w:tcPr>
          <w:p w14:paraId="485EFFEF">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4DDD7E20">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w:t>
            </w:r>
          </w:p>
        </w:tc>
        <w:tc>
          <w:tcPr>
            <w:tcW w:w="6060" w:type="dxa"/>
            <w:gridSpan w:val="3"/>
            <w:vAlign w:val="center"/>
          </w:tcPr>
          <w:p w14:paraId="0835B7C2">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6D6978D1">
        <w:tblPrEx>
          <w:tblLayout w:type="fixed"/>
        </w:tblPrEx>
        <w:trPr>
          <w:cantSplit/>
          <w:trHeight w:val="624" w:hRule="atLeast"/>
        </w:trPr>
        <w:tc>
          <w:tcPr>
            <w:tcW w:w="719" w:type="dxa"/>
            <w:vMerge w:val="continue"/>
            <w:vAlign w:val="center"/>
          </w:tcPr>
          <w:p w14:paraId="380571F6">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18FAA8D5">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2560" w:type="dxa"/>
            <w:vAlign w:val="center"/>
          </w:tcPr>
          <w:p w14:paraId="5B15E95E">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w:t>
            </w:r>
          </w:p>
        </w:tc>
        <w:tc>
          <w:tcPr>
            <w:tcW w:w="1656" w:type="dxa"/>
            <w:vAlign w:val="center"/>
          </w:tcPr>
          <w:p w14:paraId="7F01799F">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w:t>
            </w:r>
          </w:p>
        </w:tc>
        <w:tc>
          <w:tcPr>
            <w:tcW w:w="1844" w:type="dxa"/>
            <w:vAlign w:val="center"/>
          </w:tcPr>
          <w:p w14:paraId="2C9D4B7B">
            <w:pPr>
              <w:kinsoku w:val="0"/>
              <w:overflowPunct w:val="0"/>
              <w:autoSpaceDE w:val="0"/>
              <w:autoSpaceDN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06309D57">
        <w:tblPrEx>
          <w:tblLayout w:type="fixed"/>
        </w:tblPrEx>
        <w:trPr>
          <w:cantSplit/>
          <w:trHeight w:val="624" w:hRule="atLeast"/>
        </w:trPr>
        <w:tc>
          <w:tcPr>
            <w:tcW w:w="719" w:type="dxa"/>
            <w:vMerge w:val="continue"/>
            <w:vAlign w:val="center"/>
          </w:tcPr>
          <w:p w14:paraId="6F382891">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7C194BE1">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纳税人识别号</w:t>
            </w:r>
          </w:p>
        </w:tc>
        <w:tc>
          <w:tcPr>
            <w:tcW w:w="6060" w:type="dxa"/>
            <w:gridSpan w:val="3"/>
            <w:vAlign w:val="center"/>
          </w:tcPr>
          <w:p w14:paraId="6D032C9D">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w:t>
            </w:r>
          </w:p>
        </w:tc>
      </w:tr>
      <w:tr w14:paraId="5E69A107">
        <w:tblPrEx>
          <w:tblLayout w:type="fixed"/>
        </w:tblPrEx>
        <w:trPr>
          <w:cantSplit/>
          <w:trHeight w:val="624" w:hRule="atLeast"/>
        </w:trPr>
        <w:tc>
          <w:tcPr>
            <w:tcW w:w="719" w:type="dxa"/>
            <w:vMerge w:val="continue"/>
            <w:vAlign w:val="center"/>
          </w:tcPr>
          <w:p w14:paraId="421B442B">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302A46D4">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tc>
        <w:tc>
          <w:tcPr>
            <w:tcW w:w="6060" w:type="dxa"/>
            <w:gridSpan w:val="3"/>
            <w:vAlign w:val="center"/>
          </w:tcPr>
          <w:p w14:paraId="3C8D3784">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w:t>
            </w:r>
          </w:p>
        </w:tc>
      </w:tr>
      <w:tr w14:paraId="5DBA319F">
        <w:tblPrEx>
          <w:tblLayout w:type="fixed"/>
        </w:tblPrEx>
        <w:trPr>
          <w:cantSplit/>
          <w:trHeight w:val="624" w:hRule="atLeast"/>
        </w:trPr>
        <w:tc>
          <w:tcPr>
            <w:tcW w:w="719" w:type="dxa"/>
            <w:vMerge w:val="continue"/>
            <w:vAlign w:val="center"/>
          </w:tcPr>
          <w:p w14:paraId="2D64471C">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6FB21447">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帐    号</w:t>
            </w:r>
          </w:p>
        </w:tc>
        <w:tc>
          <w:tcPr>
            <w:tcW w:w="6060" w:type="dxa"/>
            <w:gridSpan w:val="3"/>
            <w:vAlign w:val="center"/>
          </w:tcPr>
          <w:p w14:paraId="5EC0C02B">
            <w:pPr>
              <w:kinsoku w:val="0"/>
              <w:overflowPunct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w:t>
            </w:r>
          </w:p>
        </w:tc>
      </w:tr>
      <w:tr w14:paraId="5B852319">
        <w:tblPrEx>
          <w:tblLayout w:type="fixed"/>
        </w:tblPrEx>
        <w:trPr>
          <w:cantSplit/>
          <w:trHeight w:val="774" w:hRule="atLeast"/>
        </w:trPr>
        <w:tc>
          <w:tcPr>
            <w:tcW w:w="719" w:type="dxa"/>
            <w:vMerge w:val="continue"/>
            <w:vAlign w:val="center"/>
          </w:tcPr>
          <w:p w14:paraId="77B18FD8">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6A310607">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p>
        </w:tc>
        <w:tc>
          <w:tcPr>
            <w:tcW w:w="6060" w:type="dxa"/>
            <w:gridSpan w:val="3"/>
            <w:vAlign w:val="center"/>
          </w:tcPr>
          <w:p w14:paraId="215678E8">
            <w:pPr>
              <w:kinsoku w:val="0"/>
              <w:overflowPunct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7E14EDC8">
        <w:tblPrEx>
          <w:tblLayout w:type="fixed"/>
        </w:tblPrEx>
        <w:trPr>
          <w:cantSplit/>
          <w:trHeight w:val="624" w:hRule="atLeast"/>
        </w:trPr>
        <w:tc>
          <w:tcPr>
            <w:tcW w:w="719" w:type="dxa"/>
            <w:vMerge w:val="restart"/>
            <w:vAlign w:val="center"/>
          </w:tcPr>
          <w:p w14:paraId="6ABB9DDE">
            <w:pPr>
              <w:kinsoku w:val="0"/>
              <w:overflowPunct w:val="0"/>
              <w:autoSpaceDE w:val="0"/>
              <w:autoSpaceDN w:val="0"/>
              <w:snapToGrid w:val="0"/>
              <w:jc w:val="center"/>
              <w:rPr>
                <w:rFonts w:hint="eastAsia" w:ascii="仿宋_GB2312" w:hAnsi="仿宋_GB2312" w:eastAsia="仿宋_GB2312" w:cs="仿宋_GB2312"/>
                <w:sz w:val="28"/>
                <w:szCs w:val="28"/>
              </w:rPr>
            </w:pPr>
          </w:p>
          <w:p w14:paraId="4A9BC584">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w:t>
            </w:r>
          </w:p>
          <w:p w14:paraId="5CE9F547">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w:t>
            </w:r>
          </w:p>
        </w:tc>
        <w:tc>
          <w:tcPr>
            <w:tcW w:w="2236" w:type="dxa"/>
            <w:vAlign w:val="center"/>
          </w:tcPr>
          <w:p w14:paraId="250F1260">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w:t>
            </w:r>
            <w:r>
              <w:rPr>
                <w:rFonts w:hint="eastAsia" w:ascii="仿宋_GB2312" w:hAnsi="仿宋_GB2312" w:eastAsia="仿宋_GB2312" w:cs="仿宋_GB2312"/>
                <w:sz w:val="28"/>
                <w:szCs w:val="28"/>
                <w:lang w:val="en-GB"/>
              </w:rPr>
              <w:t>（盖章）</w:t>
            </w:r>
          </w:p>
        </w:tc>
        <w:tc>
          <w:tcPr>
            <w:tcW w:w="6060" w:type="dxa"/>
            <w:gridSpan w:val="3"/>
            <w:vAlign w:val="center"/>
          </w:tcPr>
          <w:p w14:paraId="1E975284">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tc>
      </w:tr>
      <w:tr w14:paraId="28619DB1">
        <w:tblPrEx>
          <w:tblLayout w:type="fixed"/>
        </w:tblPrEx>
        <w:trPr>
          <w:cantSplit/>
          <w:trHeight w:val="624" w:hRule="atLeast"/>
        </w:trPr>
        <w:tc>
          <w:tcPr>
            <w:tcW w:w="719" w:type="dxa"/>
            <w:vMerge w:val="continue"/>
            <w:vAlign w:val="center"/>
          </w:tcPr>
          <w:p w14:paraId="433DBF0B">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0436F9CC">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法定代表人或委托代理人（签字）</w:t>
            </w:r>
          </w:p>
        </w:tc>
        <w:tc>
          <w:tcPr>
            <w:tcW w:w="6060" w:type="dxa"/>
            <w:gridSpan w:val="3"/>
            <w:vAlign w:val="center"/>
          </w:tcPr>
          <w:p w14:paraId="396936B1">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tc>
      </w:tr>
      <w:tr w14:paraId="25328E9D">
        <w:tblPrEx>
          <w:tblLayout w:type="fixed"/>
        </w:tblPrEx>
        <w:trPr>
          <w:cantSplit/>
          <w:trHeight w:val="624" w:hRule="atLeast"/>
        </w:trPr>
        <w:tc>
          <w:tcPr>
            <w:tcW w:w="719" w:type="dxa"/>
            <w:vMerge w:val="continue"/>
            <w:vAlign w:val="center"/>
          </w:tcPr>
          <w:p w14:paraId="34006FBF">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69AA2A08">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p>
        </w:tc>
        <w:tc>
          <w:tcPr>
            <w:tcW w:w="6060" w:type="dxa"/>
            <w:gridSpan w:val="3"/>
            <w:vAlign w:val="center"/>
          </w:tcPr>
          <w:p w14:paraId="7368CEEA">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tc>
      </w:tr>
      <w:tr w14:paraId="41EFCDD0">
        <w:tblPrEx>
          <w:tblLayout w:type="fixed"/>
        </w:tblPrEx>
        <w:trPr>
          <w:cantSplit/>
          <w:trHeight w:val="624" w:hRule="atLeast"/>
        </w:trPr>
        <w:tc>
          <w:tcPr>
            <w:tcW w:w="719" w:type="dxa"/>
            <w:vMerge w:val="continue"/>
            <w:vAlign w:val="center"/>
          </w:tcPr>
          <w:p w14:paraId="2432C3A4">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7DEA13A3">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w:t>
            </w:r>
          </w:p>
        </w:tc>
        <w:tc>
          <w:tcPr>
            <w:tcW w:w="6060" w:type="dxa"/>
            <w:gridSpan w:val="3"/>
            <w:vAlign w:val="center"/>
          </w:tcPr>
          <w:p w14:paraId="5F350C97">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tc>
      </w:tr>
      <w:tr w14:paraId="7D9BDBDE">
        <w:tblPrEx>
          <w:tblLayout w:type="fixed"/>
        </w:tblPrEx>
        <w:trPr>
          <w:cantSplit/>
          <w:trHeight w:val="624" w:hRule="atLeast"/>
        </w:trPr>
        <w:tc>
          <w:tcPr>
            <w:tcW w:w="719" w:type="dxa"/>
            <w:vMerge w:val="continue"/>
            <w:vAlign w:val="center"/>
          </w:tcPr>
          <w:p w14:paraId="2DF05F0D">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448FDD1D">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2560" w:type="dxa"/>
            <w:vAlign w:val="center"/>
          </w:tcPr>
          <w:p w14:paraId="48FEDEF8">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【010-</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tc>
        <w:tc>
          <w:tcPr>
            <w:tcW w:w="1656" w:type="dxa"/>
            <w:vAlign w:val="center"/>
          </w:tcPr>
          <w:p w14:paraId="411B83A0">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w:t>
            </w:r>
          </w:p>
        </w:tc>
        <w:tc>
          <w:tcPr>
            <w:tcW w:w="1844" w:type="dxa"/>
            <w:vAlign w:val="center"/>
          </w:tcPr>
          <w:p w14:paraId="2515A994">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4BA4CCCD">
        <w:tblPrEx>
          <w:tblLayout w:type="fixed"/>
        </w:tblPrEx>
        <w:trPr>
          <w:cantSplit/>
          <w:trHeight w:val="624" w:hRule="atLeast"/>
        </w:trPr>
        <w:tc>
          <w:tcPr>
            <w:tcW w:w="719" w:type="dxa"/>
            <w:vMerge w:val="continue"/>
            <w:vAlign w:val="center"/>
          </w:tcPr>
          <w:p w14:paraId="2B0B6EDA">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309734D3">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纳税人识别号</w:t>
            </w:r>
          </w:p>
        </w:tc>
        <w:tc>
          <w:tcPr>
            <w:tcW w:w="6060" w:type="dxa"/>
            <w:gridSpan w:val="3"/>
            <w:vAlign w:val="center"/>
          </w:tcPr>
          <w:p w14:paraId="0A4CBC6C">
            <w:pPr>
              <w:kinsoku w:val="0"/>
              <w:overflowPunct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tc>
      </w:tr>
      <w:tr w14:paraId="3A630A28">
        <w:tblPrEx>
          <w:tblLayout w:type="fixed"/>
        </w:tblPrEx>
        <w:trPr>
          <w:cantSplit/>
          <w:trHeight w:val="624" w:hRule="atLeast"/>
        </w:trPr>
        <w:tc>
          <w:tcPr>
            <w:tcW w:w="719" w:type="dxa"/>
            <w:vMerge w:val="continue"/>
            <w:vAlign w:val="center"/>
          </w:tcPr>
          <w:p w14:paraId="667A5440">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0DBD6E34">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tc>
        <w:tc>
          <w:tcPr>
            <w:tcW w:w="6060" w:type="dxa"/>
            <w:gridSpan w:val="3"/>
            <w:vAlign w:val="center"/>
          </w:tcPr>
          <w:p w14:paraId="4BBABC72">
            <w:pPr>
              <w:kinsoku w:val="0"/>
              <w:overflowPunct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tc>
      </w:tr>
      <w:tr w14:paraId="6782D445">
        <w:tblPrEx>
          <w:tblLayout w:type="fixed"/>
        </w:tblPrEx>
        <w:trPr>
          <w:cantSplit/>
          <w:trHeight w:val="624" w:hRule="atLeast"/>
        </w:trPr>
        <w:tc>
          <w:tcPr>
            <w:tcW w:w="719" w:type="dxa"/>
            <w:vMerge w:val="continue"/>
            <w:vAlign w:val="center"/>
          </w:tcPr>
          <w:p w14:paraId="7177E93C">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31D3D601">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帐    号</w:t>
            </w:r>
          </w:p>
        </w:tc>
        <w:tc>
          <w:tcPr>
            <w:tcW w:w="6060" w:type="dxa"/>
            <w:gridSpan w:val="3"/>
            <w:vAlign w:val="center"/>
          </w:tcPr>
          <w:p w14:paraId="05BF4973">
            <w:pPr>
              <w:kinsoku w:val="0"/>
              <w:overflowPunct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tc>
      </w:tr>
      <w:tr w14:paraId="4AABEB17">
        <w:tblPrEx>
          <w:tblLayout w:type="fixed"/>
        </w:tblPrEx>
        <w:trPr>
          <w:cantSplit/>
          <w:trHeight w:val="624" w:hRule="atLeast"/>
        </w:trPr>
        <w:tc>
          <w:tcPr>
            <w:tcW w:w="719" w:type="dxa"/>
            <w:vMerge w:val="continue"/>
            <w:tcBorders>
              <w:bottom w:val="single" w:color="auto" w:sz="4" w:space="0"/>
            </w:tcBorders>
            <w:vAlign w:val="center"/>
          </w:tcPr>
          <w:p w14:paraId="1EC461D8">
            <w:pPr>
              <w:kinsoku w:val="0"/>
              <w:overflowPunct w:val="0"/>
              <w:autoSpaceDE w:val="0"/>
              <w:autoSpaceDN w:val="0"/>
              <w:snapToGrid w:val="0"/>
              <w:jc w:val="center"/>
              <w:rPr>
                <w:rFonts w:hint="eastAsia" w:ascii="仿宋_GB2312" w:hAnsi="仿宋_GB2312" w:eastAsia="仿宋_GB2312" w:cs="仿宋_GB2312"/>
                <w:sz w:val="28"/>
                <w:szCs w:val="28"/>
              </w:rPr>
            </w:pPr>
          </w:p>
        </w:tc>
        <w:tc>
          <w:tcPr>
            <w:tcW w:w="2236" w:type="dxa"/>
            <w:vAlign w:val="center"/>
          </w:tcPr>
          <w:p w14:paraId="13138918">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p>
        </w:tc>
        <w:tc>
          <w:tcPr>
            <w:tcW w:w="6060" w:type="dxa"/>
            <w:gridSpan w:val="3"/>
            <w:vAlign w:val="center"/>
          </w:tcPr>
          <w:p w14:paraId="5F4D319B">
            <w:pPr>
              <w:kinsoku w:val="0"/>
              <w:overflowPunct w:val="0"/>
              <w:autoSpaceDE w:val="0"/>
              <w:autoSpaceDN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bl>
    <w:p w14:paraId="486D5D86">
      <w:pPr>
        <w:spacing w:line="520" w:lineRule="atLeast"/>
      </w:pPr>
    </w:p>
    <w:p w14:paraId="659BF431">
      <w:pPr/>
    </w:p>
    <w:p w14:paraId="7F37D860">
      <w:pPr/>
    </w:p>
    <w:p w14:paraId="35191CED">
      <w:pPr>
        <w:wordWrap w:val="0"/>
        <w:spacing w:line="360" w:lineRule="auto"/>
        <w:jc w:val="left"/>
        <w:outlineLvl w:val="2"/>
      </w:pPr>
      <w:r>
        <w:rPr>
          <w:rFonts w:hint="eastAsia" w:cs="仿宋_GB2312" w:asciiTheme="minorEastAsia" w:hAnsiTheme="minorEastAsia" w:eastAsiaTheme="minorEastAsia"/>
          <w:sz w:val="24"/>
        </w:rPr>
        <w:t>附件一：考核评分表</w:t>
      </w:r>
    </w:p>
    <w:p w14:paraId="0CB1074D">
      <w:pPr>
        <w:ind w:right="-61" w:rightChars="-29"/>
        <w:jc w:val="center"/>
        <w:rPr>
          <w:rFonts w:hint="eastAsia" w:cs="宋体" w:asciiTheme="minorEastAsia" w:hAnsiTheme="minorEastAsia" w:eastAsiaTheme="minorEastAsia"/>
          <w:b/>
          <w:bCs/>
          <w:kern w:val="0"/>
          <w:sz w:val="32"/>
          <w:szCs w:val="32"/>
        </w:rPr>
      </w:pPr>
      <w:r>
        <w:rPr>
          <w:rFonts w:hint="eastAsia" w:cs="宋体" w:asciiTheme="minorEastAsia" w:hAnsiTheme="minorEastAsia" w:eastAsiaTheme="minorEastAsia"/>
          <w:b/>
          <w:bCs/>
          <w:kern w:val="0"/>
          <w:sz w:val="32"/>
          <w:szCs w:val="32"/>
        </w:rPr>
        <w:t>合同履约情况考核评分表</w:t>
      </w:r>
    </w:p>
    <w:p w14:paraId="6681FB6E">
      <w:pPr>
        <w:ind w:right="-61" w:rightChars="-29"/>
        <w:jc w:val="center"/>
        <w:rPr>
          <w:rFonts w:hint="eastAsia" w:cs="宋体" w:asciiTheme="minorEastAsia" w:hAnsiTheme="minorEastAsia" w:eastAsiaTheme="minorEastAsia"/>
          <w:b/>
          <w:bCs/>
          <w:kern w:val="0"/>
          <w:sz w:val="32"/>
          <w:szCs w:val="32"/>
          <w:lang w:eastAsia="zh-CN"/>
        </w:rPr>
      </w:pPr>
      <w:r>
        <w:rPr>
          <w:rFonts w:hint="eastAsia" w:cs="宋体" w:asciiTheme="minorEastAsia" w:hAnsiTheme="minorEastAsia" w:eastAsiaTheme="minorEastAsia"/>
          <w:b/>
          <w:bCs/>
          <w:kern w:val="0"/>
          <w:sz w:val="32"/>
          <w:szCs w:val="32"/>
          <w:lang w:eastAsia="zh-CN"/>
        </w:rPr>
        <w:t>（</w:t>
      </w:r>
      <w:r>
        <w:rPr>
          <w:rFonts w:hint="eastAsia" w:cs="宋体" w:asciiTheme="minorEastAsia" w:hAnsiTheme="minorEastAsia" w:eastAsiaTheme="minorEastAsia"/>
          <w:b/>
          <w:bCs/>
          <w:kern w:val="0"/>
          <w:sz w:val="32"/>
          <w:szCs w:val="32"/>
          <w:lang w:val="en-US" w:eastAsia="zh-CN"/>
        </w:rPr>
        <w:t>评分表以最终版为准</w:t>
      </w:r>
      <w:r>
        <w:rPr>
          <w:rFonts w:hint="eastAsia" w:cs="宋体" w:asciiTheme="minorEastAsia" w:hAnsiTheme="minorEastAsia" w:eastAsiaTheme="minorEastAsia"/>
          <w:b/>
          <w:bCs/>
          <w:kern w:val="0"/>
          <w:sz w:val="32"/>
          <w:szCs w:val="32"/>
          <w:lang w:eastAsia="zh-CN"/>
        </w:rPr>
        <w:t>）</w:t>
      </w:r>
    </w:p>
    <w:p w14:paraId="3388A25C">
      <w:pPr>
        <w:spacing w:before="120" w:beforeLines="50" w:line="300" w:lineRule="exact"/>
        <w:rPr>
          <w:rFonts w:hint="eastAsia" w:cs="宋体" w:asciiTheme="minorEastAsia" w:hAnsiTheme="minorEastAsia" w:eastAsiaTheme="minorEastAsia"/>
          <w:kern w:val="0"/>
          <w:sz w:val="24"/>
        </w:rPr>
      </w:pPr>
      <w:r>
        <w:rPr>
          <w:rFonts w:hint="eastAsia" w:cs="华文仿宋" w:asciiTheme="minorEastAsia" w:hAnsiTheme="minorEastAsia" w:eastAsiaTheme="minorEastAsia"/>
          <w:kern w:val="0"/>
          <w:sz w:val="24"/>
        </w:rPr>
        <w:t>项目名称：</w:t>
      </w:r>
    </w:p>
    <w:p w14:paraId="4317DB4D">
      <w:pPr>
        <w:spacing w:before="120" w:beforeLines="50" w:line="300" w:lineRule="exact"/>
      </w:pPr>
      <w:r>
        <w:rPr>
          <w:rFonts w:hint="eastAsia" w:cs="华文仿宋" w:asciiTheme="minorEastAsia" w:hAnsiTheme="minorEastAsia" w:eastAsiaTheme="minorEastAsia"/>
          <w:kern w:val="0"/>
          <w:sz w:val="24"/>
        </w:rPr>
        <w:t xml:space="preserve">建设单位（章）：                         </w:t>
      </w:r>
      <w:r>
        <w:rPr>
          <w:rFonts w:hint="eastAsia" w:cs="华文仿宋" w:asciiTheme="minorEastAsia" w:hAnsiTheme="minorEastAsia" w:eastAsiaTheme="minorEastAsia"/>
          <w:kern w:val="0"/>
          <w:sz w:val="24"/>
          <w:lang w:val="en-US" w:eastAsia="zh-CN"/>
        </w:rPr>
        <w:t>招标代理</w:t>
      </w:r>
      <w:r>
        <w:rPr>
          <w:rFonts w:hint="eastAsia" w:cs="华文仿宋" w:asciiTheme="minorEastAsia" w:hAnsiTheme="minorEastAsia" w:eastAsiaTheme="minorEastAsia"/>
          <w:kern w:val="0"/>
          <w:sz w:val="24"/>
        </w:rPr>
        <w:t>单位（章）：</w:t>
      </w:r>
    </w:p>
    <w:tbl>
      <w:tblPr>
        <w:tblStyle w:val="7"/>
        <w:tblW w:w="9851" w:type="dxa"/>
        <w:tblInd w:w="-335"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90"/>
        <w:gridCol w:w="1004"/>
        <w:gridCol w:w="801"/>
        <w:gridCol w:w="3648"/>
        <w:gridCol w:w="1159"/>
        <w:gridCol w:w="2349"/>
      </w:tblGrid>
      <w:tr w14:paraId="4CACF81C">
        <w:tblPrEx>
          <w:tblLayout w:type="fixed"/>
        </w:tblPrEx>
        <w:trPr>
          <w:trHeight w:val="801" w:hRule="atLeast"/>
        </w:trPr>
        <w:tc>
          <w:tcPr>
            <w:tcW w:w="890" w:type="dxa"/>
            <w:tcMar>
              <w:top w:w="60" w:type="dxa"/>
              <w:left w:w="120" w:type="dxa"/>
              <w:bottom w:w="30" w:type="dxa"/>
              <w:right w:w="120" w:type="dxa"/>
            </w:tcMar>
            <w:vAlign w:val="top"/>
          </w:tcPr>
          <w:p w14:paraId="384DC40F">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评价维度</w:t>
            </w:r>
          </w:p>
        </w:tc>
        <w:tc>
          <w:tcPr>
            <w:tcW w:w="1004" w:type="dxa"/>
            <w:tcMar>
              <w:top w:w="60" w:type="dxa"/>
              <w:left w:w="120" w:type="dxa"/>
              <w:bottom w:w="30" w:type="dxa"/>
              <w:right w:w="120" w:type="dxa"/>
            </w:tcMar>
            <w:vAlign w:val="top"/>
          </w:tcPr>
          <w:p w14:paraId="0E0080C4">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评价指标</w:t>
            </w:r>
          </w:p>
        </w:tc>
        <w:tc>
          <w:tcPr>
            <w:tcW w:w="801" w:type="dxa"/>
            <w:tcMar>
              <w:top w:w="60" w:type="dxa"/>
              <w:left w:w="120" w:type="dxa"/>
              <w:bottom w:w="30" w:type="dxa"/>
              <w:right w:w="120" w:type="dxa"/>
            </w:tcMar>
            <w:vAlign w:val="top"/>
          </w:tcPr>
          <w:p w14:paraId="317703F8">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权重（分）</w:t>
            </w:r>
          </w:p>
        </w:tc>
        <w:tc>
          <w:tcPr>
            <w:tcW w:w="3648" w:type="dxa"/>
            <w:tcMar>
              <w:top w:w="60" w:type="dxa"/>
              <w:left w:w="120" w:type="dxa"/>
              <w:bottom w:w="30" w:type="dxa"/>
              <w:right w:w="120" w:type="dxa"/>
            </w:tcMar>
            <w:vAlign w:val="top"/>
          </w:tcPr>
          <w:p w14:paraId="44BEC7A3">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评分标准（适配基建工程类，年度考核）</w:t>
            </w:r>
          </w:p>
        </w:tc>
        <w:tc>
          <w:tcPr>
            <w:tcW w:w="1159" w:type="dxa"/>
            <w:tcMar>
              <w:top w:w="60" w:type="dxa"/>
              <w:left w:w="120" w:type="dxa"/>
              <w:bottom w:w="30" w:type="dxa"/>
              <w:right w:w="120" w:type="dxa"/>
            </w:tcMar>
            <w:vAlign w:val="top"/>
          </w:tcPr>
          <w:p w14:paraId="21B29CB3">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实得分</w:t>
            </w:r>
          </w:p>
        </w:tc>
        <w:tc>
          <w:tcPr>
            <w:tcW w:w="2349" w:type="dxa"/>
            <w:tcMar>
              <w:top w:w="60" w:type="dxa"/>
              <w:left w:w="120" w:type="dxa"/>
              <w:bottom w:w="30" w:type="dxa"/>
              <w:right w:w="120" w:type="dxa"/>
            </w:tcMar>
            <w:vAlign w:val="top"/>
          </w:tcPr>
          <w:p w14:paraId="31ECC102">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备注</w:t>
            </w:r>
            <w:r>
              <w:rPr>
                <w:rStyle w:val="9"/>
                <w:lang w:val="en-US" w:eastAsia="zh-CN" w:bidi="ar"/>
              </w:rPr>
              <w:t>（扣分</w:t>
            </w:r>
            <w:r>
              <w:rPr>
                <w:rStyle w:val="10"/>
                <w:rFonts w:eastAsia="等线"/>
                <w:lang w:val="en-US" w:eastAsia="zh-CN" w:bidi="ar"/>
              </w:rPr>
              <w:t>/</w:t>
            </w:r>
            <w:r>
              <w:rPr>
                <w:rStyle w:val="9"/>
                <w:lang w:val="en-US" w:eastAsia="zh-CN" w:bidi="ar"/>
              </w:rPr>
              <w:t>加分说明，需注明具体事例）</w:t>
            </w:r>
          </w:p>
        </w:tc>
      </w:tr>
      <w:tr w14:paraId="6CA5BB9F">
        <w:tblPrEx>
          <w:tblLayout w:type="fixed"/>
        </w:tblPrEx>
        <w:trPr>
          <w:trHeight w:val="1920" w:hRule="atLeast"/>
        </w:trPr>
        <w:tc>
          <w:tcPr>
            <w:tcW w:w="890" w:type="dxa"/>
            <w:vMerge w:val="restart"/>
            <w:tcMar>
              <w:top w:w="60" w:type="dxa"/>
              <w:left w:w="120" w:type="dxa"/>
              <w:bottom w:w="30" w:type="dxa"/>
              <w:right w:w="120" w:type="dxa"/>
            </w:tcMar>
            <w:vAlign w:val="top"/>
          </w:tcPr>
          <w:p w14:paraId="54DE916C">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资质与合规性（4</w:t>
            </w:r>
            <w:r>
              <w:rPr>
                <w:rStyle w:val="11"/>
                <w:rFonts w:eastAsia="等线"/>
                <w:lang w:val="en-US" w:eastAsia="zh-CN" w:bidi="ar"/>
              </w:rPr>
              <w:t>0</w:t>
            </w:r>
            <w:r>
              <w:rPr>
                <w:rStyle w:val="12"/>
                <w:lang w:val="en-US" w:eastAsia="zh-CN" w:bidi="ar"/>
              </w:rPr>
              <w:t>分）</w:t>
            </w:r>
          </w:p>
        </w:tc>
        <w:tc>
          <w:tcPr>
            <w:tcW w:w="1004" w:type="dxa"/>
            <w:tcMar>
              <w:top w:w="60" w:type="dxa"/>
              <w:left w:w="120" w:type="dxa"/>
              <w:bottom w:w="30" w:type="dxa"/>
              <w:right w:w="120" w:type="dxa"/>
            </w:tcMar>
            <w:vAlign w:val="top"/>
          </w:tcPr>
          <w:p w14:paraId="46B1FAD8">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资质完整性</w:t>
            </w:r>
          </w:p>
        </w:tc>
        <w:tc>
          <w:tcPr>
            <w:tcW w:w="801" w:type="dxa"/>
            <w:tcMar>
              <w:top w:w="60" w:type="dxa"/>
              <w:left w:w="120" w:type="dxa"/>
              <w:bottom w:w="30" w:type="dxa"/>
              <w:right w:w="120" w:type="dxa"/>
            </w:tcMar>
            <w:vAlign w:val="top"/>
          </w:tcPr>
          <w:p w14:paraId="4DB82F78">
            <w:pPr>
              <w:keepNext w:val="0"/>
              <w:keepLines w:val="0"/>
              <w:widowControl/>
              <w:suppressLineNumbers w:val="0"/>
              <w:jc w:val="left"/>
              <w:textAlignment w:val="top"/>
            </w:pPr>
            <w:r>
              <w:rPr>
                <w:rFonts w:hint="default" w:ascii="Arial" w:hAnsi="Arial" w:eastAsia="宋体" w:cs="Arial"/>
                <w:i w:val="0"/>
                <w:iCs w:val="0"/>
                <w:color w:val="000000"/>
                <w:kern w:val="0"/>
                <w:sz w:val="22"/>
                <w:szCs w:val="22"/>
                <w:u w:val="none"/>
                <w:lang w:val="en-US" w:eastAsia="zh-CN" w:bidi="ar"/>
              </w:rPr>
              <w:t>10</w:t>
            </w:r>
          </w:p>
        </w:tc>
        <w:tc>
          <w:tcPr>
            <w:tcW w:w="3648" w:type="dxa"/>
            <w:tcMar>
              <w:top w:w="60" w:type="dxa"/>
              <w:left w:w="120" w:type="dxa"/>
              <w:bottom w:w="30" w:type="dxa"/>
              <w:right w:w="120" w:type="dxa"/>
            </w:tcMar>
            <w:vAlign w:val="top"/>
          </w:tcPr>
          <w:p w14:paraId="00155FB2">
            <w:pPr>
              <w:keepNext w:val="0"/>
              <w:keepLines w:val="0"/>
              <w:widowControl/>
              <w:suppressLineNumbers w:val="0"/>
              <w:jc w:val="left"/>
              <w:textAlignment w:val="top"/>
              <w:rPr>
                <w:sz w:val="20"/>
                <w:szCs w:val="21"/>
              </w:rPr>
            </w:pPr>
            <w:r>
              <w:rPr>
                <w:rFonts w:hint="eastAsia" w:ascii="等线" w:hAnsi="等线" w:eastAsia="等线" w:cs="等线"/>
                <w:i w:val="0"/>
                <w:iCs w:val="0"/>
                <w:color w:val="000000"/>
                <w:kern w:val="0"/>
                <w:sz w:val="21"/>
                <w:szCs w:val="21"/>
                <w:u w:val="none"/>
                <w:lang w:val="en-US" w:eastAsia="zh-CN" w:bidi="ar"/>
              </w:rPr>
              <w:t>全年资质保持合法有效，营业执照、招标代理资质证书齐全，资质范围明确涵盖基建工程类（房屋建筑、市政、装修改造等），无资质过期、失效情况</w:t>
            </w:r>
            <w:r>
              <w:rPr>
                <w:rStyle w:val="10"/>
                <w:rFonts w:eastAsia="等线"/>
                <w:lang w:val="en-US" w:eastAsia="zh-CN" w:bidi="ar"/>
              </w:rPr>
              <w:t>;</w:t>
            </w:r>
            <w:r>
              <w:rPr>
                <w:rStyle w:val="9"/>
                <w:lang w:val="en-US" w:eastAsia="zh-CN" w:bidi="ar"/>
              </w:rPr>
              <w:t>资料不全</w:t>
            </w:r>
            <w:r>
              <w:rPr>
                <w:rStyle w:val="10"/>
                <w:rFonts w:eastAsia="等线"/>
                <w:lang w:val="en-US" w:eastAsia="zh-CN" w:bidi="ar"/>
              </w:rPr>
              <w:t>1</w:t>
            </w:r>
            <w:r>
              <w:rPr>
                <w:rStyle w:val="9"/>
                <w:lang w:val="en-US" w:eastAsia="zh-CN" w:bidi="ar"/>
              </w:rPr>
              <w:t>项扣</w:t>
            </w:r>
            <w:r>
              <w:rPr>
                <w:rStyle w:val="10"/>
                <w:rFonts w:eastAsia="等线"/>
                <w:lang w:val="en-US" w:eastAsia="zh-CN" w:bidi="ar"/>
              </w:rPr>
              <w:t>2</w:t>
            </w:r>
            <w:r>
              <w:rPr>
                <w:rStyle w:val="9"/>
                <w:lang w:val="en-US" w:eastAsia="zh-CN" w:bidi="ar"/>
              </w:rPr>
              <w:t>分，资质过期、失效等，本项得</w:t>
            </w:r>
            <w:r>
              <w:rPr>
                <w:rStyle w:val="10"/>
                <w:rFonts w:eastAsia="等线"/>
                <w:lang w:val="en-US" w:eastAsia="zh-CN" w:bidi="ar"/>
              </w:rPr>
              <w:t>0</w:t>
            </w:r>
            <w:r>
              <w:rPr>
                <w:rStyle w:val="9"/>
                <w:lang w:val="en-US" w:eastAsia="zh-CN" w:bidi="ar"/>
              </w:rPr>
              <w:t>分。</w:t>
            </w:r>
          </w:p>
        </w:tc>
        <w:tc>
          <w:tcPr>
            <w:tcW w:w="1159" w:type="dxa"/>
            <w:tcMar>
              <w:top w:w="60" w:type="dxa"/>
              <w:left w:w="120" w:type="dxa"/>
              <w:bottom w:w="30" w:type="dxa"/>
              <w:right w:w="120" w:type="dxa"/>
            </w:tcMar>
            <w:vAlign w:val="top"/>
          </w:tcPr>
          <w:p w14:paraId="79099D1C">
            <w:pPr>
              <w:jc w:val="left"/>
            </w:pPr>
          </w:p>
        </w:tc>
        <w:tc>
          <w:tcPr>
            <w:tcW w:w="2349" w:type="dxa"/>
            <w:tcMar>
              <w:top w:w="60" w:type="dxa"/>
              <w:left w:w="120" w:type="dxa"/>
              <w:bottom w:w="30" w:type="dxa"/>
              <w:right w:w="120" w:type="dxa"/>
            </w:tcMar>
            <w:vAlign w:val="top"/>
          </w:tcPr>
          <w:p w14:paraId="73DAE705">
            <w:pPr>
              <w:jc w:val="left"/>
            </w:pPr>
          </w:p>
        </w:tc>
      </w:tr>
      <w:tr w14:paraId="71F7B0E6">
        <w:tblPrEx>
          <w:tblLayout w:type="fixed"/>
        </w:tblPrEx>
        <w:tc>
          <w:tcPr>
            <w:tcW w:w="890" w:type="dxa"/>
            <w:vMerge w:val="continue"/>
            <w:tcMar>
              <w:top w:w="60" w:type="dxa"/>
              <w:left w:w="120" w:type="dxa"/>
              <w:bottom w:w="30" w:type="dxa"/>
              <w:right w:w="120" w:type="dxa"/>
            </w:tcMar>
            <w:vAlign w:val="top"/>
          </w:tcPr>
          <w:p w14:paraId="66F8CC99">
            <w:pPr>
              <w:jc w:val="left"/>
            </w:pPr>
          </w:p>
        </w:tc>
        <w:tc>
          <w:tcPr>
            <w:tcW w:w="1004" w:type="dxa"/>
            <w:tcMar>
              <w:top w:w="60" w:type="dxa"/>
              <w:left w:w="120" w:type="dxa"/>
              <w:bottom w:w="30" w:type="dxa"/>
              <w:right w:w="120" w:type="dxa"/>
            </w:tcMar>
            <w:vAlign w:val="top"/>
          </w:tcPr>
          <w:p w14:paraId="66E87A62">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合规操作执行</w:t>
            </w:r>
          </w:p>
        </w:tc>
        <w:tc>
          <w:tcPr>
            <w:tcW w:w="801" w:type="dxa"/>
            <w:tcMar>
              <w:top w:w="60" w:type="dxa"/>
              <w:left w:w="120" w:type="dxa"/>
              <w:bottom w:w="30" w:type="dxa"/>
              <w:right w:w="120" w:type="dxa"/>
            </w:tcMar>
            <w:vAlign w:val="top"/>
          </w:tcPr>
          <w:p w14:paraId="0CBD7373">
            <w:pPr>
              <w:keepNext w:val="0"/>
              <w:keepLines w:val="0"/>
              <w:widowControl/>
              <w:suppressLineNumbers w:val="0"/>
              <w:jc w:val="left"/>
              <w:textAlignment w:val="top"/>
            </w:pPr>
            <w:r>
              <w:rPr>
                <w:rFonts w:hint="default" w:ascii="Arial" w:hAnsi="Arial" w:eastAsia="宋体" w:cs="Arial"/>
                <w:i w:val="0"/>
                <w:iCs w:val="0"/>
                <w:color w:val="000000"/>
                <w:kern w:val="0"/>
                <w:sz w:val="22"/>
                <w:szCs w:val="22"/>
                <w:u w:val="none"/>
                <w:lang w:val="en-US" w:eastAsia="zh-CN" w:bidi="ar"/>
              </w:rPr>
              <w:t>12</w:t>
            </w:r>
          </w:p>
        </w:tc>
        <w:tc>
          <w:tcPr>
            <w:tcW w:w="3648" w:type="dxa"/>
            <w:tcMar>
              <w:top w:w="60" w:type="dxa"/>
              <w:left w:w="120" w:type="dxa"/>
              <w:bottom w:w="30" w:type="dxa"/>
              <w:right w:w="120" w:type="dxa"/>
            </w:tcMar>
            <w:vAlign w:val="top"/>
          </w:tcPr>
          <w:p w14:paraId="346E08B4">
            <w:pPr>
              <w:keepNext w:val="0"/>
              <w:keepLines w:val="0"/>
              <w:widowControl/>
              <w:suppressLineNumbers w:val="0"/>
              <w:jc w:val="left"/>
              <w:textAlignment w:val="top"/>
              <w:rPr>
                <w:sz w:val="20"/>
                <w:szCs w:val="21"/>
              </w:rPr>
            </w:pPr>
            <w:r>
              <w:rPr>
                <w:rFonts w:hint="eastAsia" w:ascii="等线" w:hAnsi="等线" w:eastAsia="等线" w:cs="等线"/>
                <w:i w:val="0"/>
                <w:iCs w:val="0"/>
                <w:color w:val="000000"/>
                <w:kern w:val="0"/>
                <w:sz w:val="21"/>
                <w:szCs w:val="21"/>
                <w:u w:val="none"/>
                <w:lang w:val="en-US" w:eastAsia="zh-CN" w:bidi="ar"/>
              </w:rPr>
              <w:t>全年严格遵守《招标投标法》《政府采购法》《建设工程招标投标管理规定》及医院基建招标管理相关规定，所有基建工程招标流程、文件、公告均合规，无违规行为</w:t>
            </w:r>
            <w:r>
              <w:rPr>
                <w:rStyle w:val="9"/>
                <w:lang w:val="en-US" w:eastAsia="zh-CN" w:bidi="ar"/>
              </w:rPr>
              <w:t>；全年出现</w:t>
            </w:r>
            <w:r>
              <w:rPr>
                <w:rStyle w:val="10"/>
                <w:rFonts w:eastAsia="等线"/>
                <w:lang w:val="en-US" w:eastAsia="zh-CN" w:bidi="ar"/>
              </w:rPr>
              <w:t>1</w:t>
            </w:r>
            <w:r>
              <w:rPr>
                <w:rStyle w:val="9"/>
                <w:lang w:val="en-US" w:eastAsia="zh-CN" w:bidi="ar"/>
              </w:rPr>
              <w:t>次轻微违规（如流程疏漏）扣</w:t>
            </w:r>
            <w:r>
              <w:rPr>
                <w:rStyle w:val="10"/>
                <w:rFonts w:eastAsia="等线"/>
                <w:lang w:val="en-US" w:eastAsia="zh-CN" w:bidi="ar"/>
              </w:rPr>
              <w:t>2</w:t>
            </w:r>
            <w:r>
              <w:rPr>
                <w:rStyle w:val="9"/>
                <w:lang w:val="en-US" w:eastAsia="zh-CN" w:bidi="ar"/>
              </w:rPr>
              <w:t>分，出现</w:t>
            </w:r>
            <w:r>
              <w:rPr>
                <w:rStyle w:val="10"/>
                <w:rFonts w:eastAsia="等线"/>
                <w:lang w:val="en-US" w:eastAsia="zh-CN" w:bidi="ar"/>
              </w:rPr>
              <w:t>1</w:t>
            </w:r>
            <w:r>
              <w:rPr>
                <w:rStyle w:val="9"/>
                <w:lang w:val="en-US" w:eastAsia="zh-CN" w:bidi="ar"/>
              </w:rPr>
              <w:t>次及以上严重违规（如虚假招标、泄露基建标底信息）本项得</w:t>
            </w:r>
            <w:r>
              <w:rPr>
                <w:rStyle w:val="10"/>
                <w:rFonts w:eastAsia="等线"/>
                <w:lang w:val="en-US" w:eastAsia="zh-CN" w:bidi="ar"/>
              </w:rPr>
              <w:t>0</w:t>
            </w:r>
            <w:r>
              <w:rPr>
                <w:rStyle w:val="9"/>
                <w:lang w:val="en-US" w:eastAsia="zh-CN" w:bidi="ar"/>
              </w:rPr>
              <w:t>分。</w:t>
            </w:r>
          </w:p>
        </w:tc>
        <w:tc>
          <w:tcPr>
            <w:tcW w:w="1159" w:type="dxa"/>
            <w:tcMar>
              <w:top w:w="60" w:type="dxa"/>
              <w:left w:w="120" w:type="dxa"/>
              <w:bottom w:w="30" w:type="dxa"/>
              <w:right w:w="120" w:type="dxa"/>
            </w:tcMar>
            <w:vAlign w:val="top"/>
          </w:tcPr>
          <w:p w14:paraId="5C3CE1D9">
            <w:pPr>
              <w:jc w:val="left"/>
            </w:pPr>
            <w:bookmarkStart w:id="0" w:name="_GoBack"/>
            <w:bookmarkEnd w:id="0"/>
          </w:p>
        </w:tc>
        <w:tc>
          <w:tcPr>
            <w:tcW w:w="2349" w:type="dxa"/>
            <w:tcMar>
              <w:top w:w="60" w:type="dxa"/>
              <w:left w:w="120" w:type="dxa"/>
              <w:bottom w:w="30" w:type="dxa"/>
              <w:right w:w="120" w:type="dxa"/>
            </w:tcMar>
            <w:vAlign w:val="top"/>
          </w:tcPr>
          <w:p w14:paraId="3C7A2BF8">
            <w:pPr>
              <w:jc w:val="left"/>
            </w:pPr>
          </w:p>
        </w:tc>
      </w:tr>
      <w:tr w14:paraId="0492377C">
        <w:tblPrEx>
          <w:tblLayout w:type="fixed"/>
        </w:tblPrEx>
        <w:tc>
          <w:tcPr>
            <w:tcW w:w="890" w:type="dxa"/>
            <w:vMerge w:val="continue"/>
            <w:tcMar>
              <w:top w:w="60" w:type="dxa"/>
              <w:left w:w="120" w:type="dxa"/>
              <w:bottom w:w="30" w:type="dxa"/>
              <w:right w:w="120" w:type="dxa"/>
            </w:tcMar>
            <w:vAlign w:val="top"/>
          </w:tcPr>
          <w:p w14:paraId="6FBD5BAE">
            <w:pPr>
              <w:jc w:val="left"/>
            </w:pPr>
          </w:p>
        </w:tc>
        <w:tc>
          <w:tcPr>
            <w:tcW w:w="1004" w:type="dxa"/>
            <w:tcMar>
              <w:top w:w="60" w:type="dxa"/>
              <w:left w:w="120" w:type="dxa"/>
              <w:bottom w:w="30" w:type="dxa"/>
              <w:right w:w="120" w:type="dxa"/>
            </w:tcMar>
            <w:vAlign w:val="top"/>
          </w:tcPr>
          <w:p w14:paraId="3109A195">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文件规范性</w:t>
            </w:r>
          </w:p>
        </w:tc>
        <w:tc>
          <w:tcPr>
            <w:tcW w:w="801" w:type="dxa"/>
            <w:tcMar>
              <w:top w:w="60" w:type="dxa"/>
              <w:left w:w="120" w:type="dxa"/>
              <w:bottom w:w="30" w:type="dxa"/>
              <w:right w:w="120" w:type="dxa"/>
            </w:tcMar>
            <w:vAlign w:val="top"/>
          </w:tcPr>
          <w:p w14:paraId="45003862">
            <w:pPr>
              <w:keepNext w:val="0"/>
              <w:keepLines w:val="0"/>
              <w:widowControl/>
              <w:suppressLineNumbers w:val="0"/>
              <w:jc w:val="left"/>
              <w:textAlignment w:val="top"/>
            </w:pPr>
            <w:r>
              <w:rPr>
                <w:rFonts w:hint="default" w:ascii="Arial" w:hAnsi="Arial" w:eastAsia="宋体" w:cs="Arial"/>
                <w:i w:val="0"/>
                <w:iCs w:val="0"/>
                <w:color w:val="000000"/>
                <w:kern w:val="0"/>
                <w:sz w:val="22"/>
                <w:szCs w:val="22"/>
                <w:u w:val="none"/>
                <w:lang w:val="en-US" w:eastAsia="zh-CN" w:bidi="ar"/>
              </w:rPr>
              <w:t>8</w:t>
            </w:r>
          </w:p>
        </w:tc>
        <w:tc>
          <w:tcPr>
            <w:tcW w:w="3648" w:type="dxa"/>
            <w:tcMar>
              <w:top w:w="60" w:type="dxa"/>
              <w:left w:w="120" w:type="dxa"/>
              <w:bottom w:w="30" w:type="dxa"/>
              <w:right w:w="120" w:type="dxa"/>
            </w:tcMar>
            <w:vAlign w:val="top"/>
          </w:tcPr>
          <w:p w14:paraId="53796DCE">
            <w:pPr>
              <w:keepNext w:val="0"/>
              <w:keepLines w:val="0"/>
              <w:widowControl/>
              <w:suppressLineNumbers w:val="0"/>
              <w:jc w:val="left"/>
              <w:textAlignment w:val="top"/>
              <w:rPr>
                <w:sz w:val="20"/>
                <w:szCs w:val="21"/>
              </w:rPr>
            </w:pPr>
            <w:r>
              <w:rPr>
                <w:rFonts w:hint="eastAsia" w:ascii="等线" w:hAnsi="等线" w:eastAsia="等线" w:cs="等线"/>
                <w:i w:val="0"/>
                <w:iCs w:val="0"/>
                <w:color w:val="000000"/>
                <w:kern w:val="0"/>
                <w:sz w:val="21"/>
                <w:szCs w:val="21"/>
                <w:u w:val="none"/>
                <w:lang w:val="en-US" w:eastAsia="zh-CN" w:bidi="ar"/>
              </w:rPr>
              <w:t>全年编制的基建工程招标文件、投标邀请书、工程量清单、评标报告等所有资料均规范，明确工程质量、工期、安全等核心要求，内容完整、无歧义、无疏漏；单份资料出现</w:t>
            </w:r>
            <w:r>
              <w:rPr>
                <w:rStyle w:val="10"/>
                <w:rFonts w:eastAsia="等线"/>
                <w:lang w:val="en-US" w:eastAsia="zh-CN" w:bidi="ar"/>
              </w:rPr>
              <w:t>1</w:t>
            </w:r>
            <w:r>
              <w:rPr>
                <w:rStyle w:val="9"/>
                <w:lang w:val="en-US" w:eastAsia="zh-CN" w:bidi="ar"/>
              </w:rPr>
              <w:t>处不规范扣</w:t>
            </w:r>
            <w:r>
              <w:rPr>
                <w:rStyle w:val="10"/>
                <w:rFonts w:eastAsia="等线"/>
                <w:lang w:val="en-US" w:eastAsia="zh-CN" w:bidi="ar"/>
              </w:rPr>
              <w:t>1</w:t>
            </w:r>
            <w:r>
              <w:rPr>
                <w:rStyle w:val="9"/>
                <w:lang w:val="en-US" w:eastAsia="zh-CN" w:bidi="ar"/>
              </w:rPr>
              <w:t>分，出现</w:t>
            </w:r>
            <w:r>
              <w:rPr>
                <w:rStyle w:val="10"/>
                <w:rFonts w:eastAsia="等线"/>
                <w:lang w:val="en-US" w:eastAsia="zh-CN" w:bidi="ar"/>
              </w:rPr>
              <w:t>1</w:t>
            </w:r>
            <w:r>
              <w:rPr>
                <w:rStyle w:val="9"/>
                <w:lang w:val="en-US" w:eastAsia="zh-CN" w:bidi="ar"/>
              </w:rPr>
              <w:t>次重大疏漏（如工程量清单错误）扣</w:t>
            </w:r>
            <w:r>
              <w:rPr>
                <w:rStyle w:val="10"/>
                <w:rFonts w:eastAsia="等线"/>
                <w:lang w:val="en-US" w:eastAsia="zh-CN" w:bidi="ar"/>
              </w:rPr>
              <w:t>4</w:t>
            </w:r>
            <w:r>
              <w:rPr>
                <w:rStyle w:val="9"/>
                <w:lang w:val="en-US" w:eastAsia="zh-CN" w:bidi="ar"/>
              </w:rPr>
              <w:t>分。</w:t>
            </w:r>
          </w:p>
        </w:tc>
        <w:tc>
          <w:tcPr>
            <w:tcW w:w="1159" w:type="dxa"/>
            <w:tcMar>
              <w:top w:w="60" w:type="dxa"/>
              <w:left w:w="120" w:type="dxa"/>
              <w:bottom w:w="30" w:type="dxa"/>
              <w:right w:w="120" w:type="dxa"/>
            </w:tcMar>
            <w:vAlign w:val="top"/>
          </w:tcPr>
          <w:p w14:paraId="0BE49A5B">
            <w:pPr>
              <w:jc w:val="left"/>
            </w:pPr>
          </w:p>
        </w:tc>
        <w:tc>
          <w:tcPr>
            <w:tcW w:w="2349" w:type="dxa"/>
            <w:tcMar>
              <w:top w:w="60" w:type="dxa"/>
              <w:left w:w="120" w:type="dxa"/>
              <w:bottom w:w="30" w:type="dxa"/>
              <w:right w:w="120" w:type="dxa"/>
            </w:tcMar>
            <w:vAlign w:val="top"/>
          </w:tcPr>
          <w:p w14:paraId="53C8DA68">
            <w:pPr>
              <w:jc w:val="left"/>
            </w:pPr>
          </w:p>
        </w:tc>
      </w:tr>
      <w:tr w14:paraId="46021762">
        <w:tblPrEx>
          <w:tblLayout w:type="fixed"/>
        </w:tblPrEx>
        <w:tc>
          <w:tcPr>
            <w:tcW w:w="890" w:type="dxa"/>
            <w:vMerge w:val="continue"/>
            <w:tcMar>
              <w:top w:w="60" w:type="dxa"/>
              <w:left w:w="120" w:type="dxa"/>
              <w:bottom w:w="30" w:type="dxa"/>
              <w:right w:w="120" w:type="dxa"/>
            </w:tcMar>
            <w:vAlign w:val="top"/>
          </w:tcPr>
          <w:p w14:paraId="625B8E0C">
            <w:pPr>
              <w:jc w:val="left"/>
            </w:pPr>
          </w:p>
        </w:tc>
        <w:tc>
          <w:tcPr>
            <w:tcW w:w="1004" w:type="dxa"/>
            <w:tcMar>
              <w:top w:w="60" w:type="dxa"/>
              <w:left w:w="120" w:type="dxa"/>
              <w:bottom w:w="30" w:type="dxa"/>
              <w:right w:w="120" w:type="dxa"/>
            </w:tcMar>
            <w:vAlign w:val="top"/>
          </w:tcPr>
          <w:p w14:paraId="12893874">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备案与归档</w:t>
            </w:r>
          </w:p>
        </w:tc>
        <w:tc>
          <w:tcPr>
            <w:tcW w:w="801" w:type="dxa"/>
            <w:tcMar>
              <w:top w:w="60" w:type="dxa"/>
              <w:left w:w="120" w:type="dxa"/>
              <w:bottom w:w="30" w:type="dxa"/>
              <w:right w:w="120" w:type="dxa"/>
            </w:tcMar>
            <w:vAlign w:val="top"/>
          </w:tcPr>
          <w:p w14:paraId="6F93AEFF">
            <w:pPr>
              <w:keepNext w:val="0"/>
              <w:keepLines w:val="0"/>
              <w:widowControl/>
              <w:suppressLineNumbers w:val="0"/>
              <w:jc w:val="left"/>
              <w:textAlignment w:val="top"/>
            </w:pPr>
            <w:r>
              <w:rPr>
                <w:rFonts w:hint="default" w:ascii="Arial" w:hAnsi="Arial" w:eastAsia="宋体" w:cs="Arial"/>
                <w:i w:val="0"/>
                <w:iCs w:val="0"/>
                <w:color w:val="000000"/>
                <w:kern w:val="0"/>
                <w:sz w:val="22"/>
                <w:szCs w:val="22"/>
                <w:u w:val="none"/>
                <w:lang w:val="en-US" w:eastAsia="zh-CN" w:bidi="ar"/>
              </w:rPr>
              <w:t>10</w:t>
            </w:r>
          </w:p>
        </w:tc>
        <w:tc>
          <w:tcPr>
            <w:tcW w:w="3648" w:type="dxa"/>
            <w:tcMar>
              <w:top w:w="60" w:type="dxa"/>
              <w:left w:w="120" w:type="dxa"/>
              <w:bottom w:w="30" w:type="dxa"/>
              <w:right w:w="120" w:type="dxa"/>
            </w:tcMar>
            <w:vAlign w:val="top"/>
          </w:tcPr>
          <w:p w14:paraId="58B72AF8">
            <w:pPr>
              <w:keepNext w:val="0"/>
              <w:keepLines w:val="0"/>
              <w:widowControl/>
              <w:suppressLineNumbers w:val="0"/>
              <w:jc w:val="left"/>
              <w:textAlignment w:val="top"/>
              <w:rPr>
                <w:sz w:val="20"/>
                <w:szCs w:val="21"/>
              </w:rPr>
            </w:pPr>
            <w:r>
              <w:rPr>
                <w:rFonts w:hint="eastAsia" w:ascii="等线" w:hAnsi="等线" w:eastAsia="等线" w:cs="等线"/>
                <w:i w:val="0"/>
                <w:iCs w:val="0"/>
                <w:color w:val="000000"/>
                <w:kern w:val="0"/>
                <w:sz w:val="21"/>
                <w:szCs w:val="21"/>
                <w:u w:val="none"/>
                <w:lang w:val="en-US" w:eastAsia="zh-CN" w:bidi="ar"/>
              </w:rPr>
              <w:t>全年所有基建工程招标相关资料（含工程量清单、图纸、评标记录等）均及时备案、完整归档，有序存放、可追溯性强；单批次资料备案不及时扣</w:t>
            </w:r>
            <w:r>
              <w:rPr>
                <w:rStyle w:val="10"/>
                <w:rFonts w:eastAsia="等线"/>
                <w:lang w:val="en-US" w:eastAsia="zh-CN" w:bidi="ar"/>
              </w:rPr>
              <w:t>2</w:t>
            </w:r>
            <w:r>
              <w:rPr>
                <w:rStyle w:val="9"/>
                <w:lang w:val="en-US" w:eastAsia="zh-CN" w:bidi="ar"/>
              </w:rPr>
              <w:t>分，归档资料缺失（三备份，即云盘、电子和纸质缺少）</w:t>
            </w:r>
            <w:r>
              <w:rPr>
                <w:rStyle w:val="10"/>
                <w:rFonts w:eastAsia="等线"/>
                <w:lang w:val="en-US" w:eastAsia="zh-CN" w:bidi="ar"/>
              </w:rPr>
              <w:t>1</w:t>
            </w:r>
            <w:r>
              <w:rPr>
                <w:rStyle w:val="9"/>
                <w:lang w:val="en-US" w:eastAsia="zh-CN" w:bidi="ar"/>
              </w:rPr>
              <w:t>项（含基建专项资料）扣</w:t>
            </w:r>
            <w:r>
              <w:rPr>
                <w:rStyle w:val="10"/>
                <w:rFonts w:eastAsia="等线"/>
                <w:lang w:val="en-US" w:eastAsia="zh-CN" w:bidi="ar"/>
              </w:rPr>
              <w:t>1</w:t>
            </w:r>
            <w:r>
              <w:rPr>
                <w:rStyle w:val="9"/>
                <w:lang w:val="en-US" w:eastAsia="zh-CN" w:bidi="ar"/>
              </w:rPr>
              <w:t>分。</w:t>
            </w:r>
          </w:p>
        </w:tc>
        <w:tc>
          <w:tcPr>
            <w:tcW w:w="1159" w:type="dxa"/>
            <w:tcMar>
              <w:top w:w="60" w:type="dxa"/>
              <w:left w:w="120" w:type="dxa"/>
              <w:bottom w:w="30" w:type="dxa"/>
              <w:right w:w="120" w:type="dxa"/>
            </w:tcMar>
            <w:vAlign w:val="top"/>
          </w:tcPr>
          <w:p w14:paraId="4A52C3F0">
            <w:pPr>
              <w:jc w:val="left"/>
            </w:pPr>
          </w:p>
        </w:tc>
        <w:tc>
          <w:tcPr>
            <w:tcW w:w="2349" w:type="dxa"/>
            <w:tcMar>
              <w:top w:w="60" w:type="dxa"/>
              <w:left w:w="120" w:type="dxa"/>
              <w:bottom w:w="30" w:type="dxa"/>
              <w:right w:w="120" w:type="dxa"/>
            </w:tcMar>
            <w:vAlign w:val="top"/>
          </w:tcPr>
          <w:p w14:paraId="0983106E">
            <w:pPr>
              <w:jc w:val="left"/>
            </w:pPr>
          </w:p>
        </w:tc>
      </w:tr>
      <w:tr w14:paraId="50E86B1C">
        <w:tblPrEx>
          <w:tblLayout w:type="fixed"/>
        </w:tblPrEx>
        <w:tc>
          <w:tcPr>
            <w:tcW w:w="890" w:type="dxa"/>
            <w:vMerge w:val="restart"/>
            <w:tcMar>
              <w:top w:w="60" w:type="dxa"/>
              <w:left w:w="120" w:type="dxa"/>
              <w:bottom w:w="30" w:type="dxa"/>
              <w:right w:w="120" w:type="dxa"/>
            </w:tcMar>
            <w:vAlign w:val="top"/>
          </w:tcPr>
          <w:p w14:paraId="2442168E">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业务能力与效率（60分）</w:t>
            </w:r>
          </w:p>
        </w:tc>
        <w:tc>
          <w:tcPr>
            <w:tcW w:w="1004" w:type="dxa"/>
            <w:tcMar>
              <w:top w:w="60" w:type="dxa"/>
              <w:left w:w="120" w:type="dxa"/>
              <w:bottom w:w="30" w:type="dxa"/>
              <w:right w:w="120" w:type="dxa"/>
            </w:tcMar>
            <w:vAlign w:val="top"/>
          </w:tcPr>
          <w:p w14:paraId="263F6277">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基建招标方案制定</w:t>
            </w:r>
          </w:p>
        </w:tc>
        <w:tc>
          <w:tcPr>
            <w:tcW w:w="801" w:type="dxa"/>
            <w:tcMar>
              <w:top w:w="60" w:type="dxa"/>
              <w:left w:w="120" w:type="dxa"/>
              <w:bottom w:w="30" w:type="dxa"/>
              <w:right w:w="120" w:type="dxa"/>
            </w:tcMar>
            <w:vAlign w:val="top"/>
          </w:tcPr>
          <w:p w14:paraId="47A4233B">
            <w:pPr>
              <w:keepNext w:val="0"/>
              <w:keepLines w:val="0"/>
              <w:widowControl/>
              <w:suppressLineNumbers w:val="0"/>
              <w:jc w:val="left"/>
              <w:textAlignment w:val="top"/>
              <w:rPr>
                <w:rFonts w:hint="default" w:eastAsia="宋体"/>
                <w:lang w:val="en-US" w:eastAsia="zh-CN"/>
              </w:rPr>
            </w:pPr>
            <w:r>
              <w:rPr>
                <w:rFonts w:hint="default" w:ascii="Arial" w:hAnsi="Arial" w:eastAsia="宋体" w:cs="Arial"/>
                <w:i w:val="0"/>
                <w:iCs w:val="0"/>
                <w:color w:val="000000"/>
                <w:kern w:val="0"/>
                <w:sz w:val="22"/>
                <w:szCs w:val="22"/>
                <w:u w:val="none"/>
                <w:lang w:val="en-US" w:eastAsia="zh-CN" w:bidi="ar"/>
              </w:rPr>
              <w:t>15</w:t>
            </w:r>
          </w:p>
        </w:tc>
        <w:tc>
          <w:tcPr>
            <w:tcW w:w="3648" w:type="dxa"/>
            <w:tcMar>
              <w:top w:w="60" w:type="dxa"/>
              <w:left w:w="120" w:type="dxa"/>
              <w:bottom w:w="30" w:type="dxa"/>
              <w:right w:w="120" w:type="dxa"/>
            </w:tcMar>
            <w:vAlign w:val="top"/>
          </w:tcPr>
          <w:p w14:paraId="073895C9">
            <w:pPr>
              <w:keepNext w:val="0"/>
              <w:keepLines w:val="0"/>
              <w:widowControl/>
              <w:suppressLineNumbers w:val="0"/>
              <w:jc w:val="left"/>
              <w:textAlignment w:val="top"/>
              <w:rPr>
                <w:sz w:val="20"/>
                <w:szCs w:val="21"/>
              </w:rPr>
            </w:pPr>
            <w:r>
              <w:rPr>
                <w:rFonts w:hint="eastAsia" w:ascii="等线" w:hAnsi="等线" w:eastAsia="等线" w:cs="等线"/>
                <w:i w:val="0"/>
                <w:iCs w:val="0"/>
                <w:color w:val="000000"/>
                <w:kern w:val="0"/>
                <w:sz w:val="21"/>
                <w:szCs w:val="21"/>
                <w:u w:val="none"/>
                <w:lang w:val="en-US" w:eastAsia="zh-CN" w:bidi="ar"/>
              </w:rPr>
              <w:t>全年结合医院各基建工程需求，制定的所有招标方案均科学合理，明确招标范围、评标办法，能有效控制招标成本、保障工程质量和工期；单份方案不合理需修改</w:t>
            </w:r>
            <w:r>
              <w:rPr>
                <w:rStyle w:val="10"/>
                <w:rFonts w:eastAsia="等线"/>
                <w:lang w:val="en-US" w:eastAsia="zh-CN" w:bidi="ar"/>
              </w:rPr>
              <w:t>1</w:t>
            </w:r>
            <w:r>
              <w:rPr>
                <w:rStyle w:val="9"/>
                <w:lang w:val="en-US" w:eastAsia="zh-CN" w:bidi="ar"/>
              </w:rPr>
              <w:t>次扣</w:t>
            </w:r>
            <w:r>
              <w:rPr>
                <w:rStyle w:val="10"/>
                <w:rFonts w:eastAsia="等线"/>
                <w:lang w:val="en-US" w:eastAsia="zh-CN" w:bidi="ar"/>
              </w:rPr>
              <w:t>3</w:t>
            </w:r>
            <w:r>
              <w:rPr>
                <w:rStyle w:val="9"/>
                <w:lang w:val="en-US" w:eastAsia="zh-CN" w:bidi="ar"/>
              </w:rPr>
              <w:t>分，未按要求报送规划和实施细则的扣</w:t>
            </w:r>
            <w:r>
              <w:rPr>
                <w:rStyle w:val="10"/>
                <w:rFonts w:eastAsia="等线"/>
                <w:lang w:val="en-US" w:eastAsia="zh-CN" w:bidi="ar"/>
              </w:rPr>
              <w:t>3</w:t>
            </w:r>
            <w:r>
              <w:rPr>
                <w:rStyle w:val="9"/>
                <w:lang w:val="en-US" w:eastAsia="zh-CN" w:bidi="ar"/>
              </w:rPr>
              <w:t>分，出现</w:t>
            </w:r>
            <w:r>
              <w:rPr>
                <w:rStyle w:val="10"/>
                <w:rFonts w:eastAsia="等线"/>
                <w:lang w:val="en-US" w:eastAsia="zh-CN" w:bidi="ar"/>
              </w:rPr>
              <w:t>1</w:t>
            </w:r>
            <w:r>
              <w:rPr>
                <w:rStyle w:val="9"/>
                <w:lang w:val="en-US" w:eastAsia="zh-CN" w:bidi="ar"/>
              </w:rPr>
              <w:t>份及以上方案无法满足基建需求得</w:t>
            </w:r>
            <w:r>
              <w:rPr>
                <w:rStyle w:val="10"/>
                <w:rFonts w:eastAsia="等线"/>
                <w:lang w:val="en-US" w:eastAsia="zh-CN" w:bidi="ar"/>
              </w:rPr>
              <w:t>0</w:t>
            </w:r>
            <w:r>
              <w:rPr>
                <w:rStyle w:val="9"/>
                <w:lang w:val="en-US" w:eastAsia="zh-CN" w:bidi="ar"/>
              </w:rPr>
              <w:t>分。</w:t>
            </w:r>
          </w:p>
        </w:tc>
        <w:tc>
          <w:tcPr>
            <w:tcW w:w="1159" w:type="dxa"/>
            <w:tcMar>
              <w:top w:w="60" w:type="dxa"/>
              <w:left w:w="120" w:type="dxa"/>
              <w:bottom w:w="30" w:type="dxa"/>
              <w:right w:w="120" w:type="dxa"/>
            </w:tcMar>
            <w:vAlign w:val="top"/>
          </w:tcPr>
          <w:p w14:paraId="6F95F44B">
            <w:pPr>
              <w:jc w:val="left"/>
            </w:pPr>
          </w:p>
        </w:tc>
        <w:tc>
          <w:tcPr>
            <w:tcW w:w="2349" w:type="dxa"/>
            <w:tcMar>
              <w:top w:w="60" w:type="dxa"/>
              <w:left w:w="120" w:type="dxa"/>
              <w:bottom w:w="30" w:type="dxa"/>
              <w:right w:w="120" w:type="dxa"/>
            </w:tcMar>
            <w:vAlign w:val="top"/>
          </w:tcPr>
          <w:p w14:paraId="60C1D2D7">
            <w:pPr>
              <w:keepNext w:val="0"/>
              <w:keepLines w:val="0"/>
              <w:widowControl/>
              <w:suppressLineNumbers w:val="0"/>
              <w:jc w:val="left"/>
              <w:textAlignment w:val="top"/>
              <w:rPr>
                <w:rFonts w:hint="default" w:eastAsia="宋体"/>
                <w:lang w:val="en-US" w:eastAsia="zh-CN"/>
              </w:rPr>
            </w:pPr>
            <w:r>
              <w:rPr>
                <w:rFonts w:hint="default" w:ascii="Calibri" w:hAnsi="Calibri" w:eastAsia="宋体" w:cs="Calibri"/>
                <w:i w:val="0"/>
                <w:iCs w:val="0"/>
                <w:color w:val="000000"/>
                <w:kern w:val="0"/>
                <w:sz w:val="21"/>
                <w:szCs w:val="21"/>
                <w:u w:val="none"/>
                <w:lang w:val="en-US" w:eastAsia="zh-CN" w:bidi="ar"/>
              </w:rPr>
              <w:t xml:space="preserve">     </w:t>
            </w:r>
          </w:p>
        </w:tc>
      </w:tr>
      <w:tr w14:paraId="355AFEF0">
        <w:tblPrEx>
          <w:tblLayout w:type="fixed"/>
        </w:tblPrEx>
        <w:trPr>
          <w:trHeight w:val="1011" w:hRule="atLeast"/>
        </w:trPr>
        <w:tc>
          <w:tcPr>
            <w:tcW w:w="890" w:type="dxa"/>
            <w:vMerge w:val="continue"/>
            <w:tcMar>
              <w:top w:w="60" w:type="dxa"/>
              <w:left w:w="120" w:type="dxa"/>
              <w:bottom w:w="30" w:type="dxa"/>
              <w:right w:w="120" w:type="dxa"/>
            </w:tcMar>
            <w:vAlign w:val="top"/>
          </w:tcPr>
          <w:p w14:paraId="194E3BED">
            <w:pPr>
              <w:jc w:val="left"/>
            </w:pPr>
          </w:p>
        </w:tc>
        <w:tc>
          <w:tcPr>
            <w:tcW w:w="1004" w:type="dxa"/>
            <w:shd w:val="clear" w:color="auto" w:fill="auto"/>
            <w:tcMar>
              <w:top w:w="60" w:type="dxa"/>
              <w:left w:w="120" w:type="dxa"/>
              <w:bottom w:w="30" w:type="dxa"/>
              <w:right w:w="120" w:type="dxa"/>
            </w:tcMar>
            <w:vAlign w:val="top"/>
          </w:tcPr>
          <w:p w14:paraId="2C46610D">
            <w:pPr>
              <w:keepNext w:val="0"/>
              <w:keepLines w:val="0"/>
              <w:widowControl/>
              <w:suppressLineNumbers w:val="0"/>
              <w:jc w:val="left"/>
              <w:textAlignment w:val="top"/>
              <w:rPr>
                <w:rFonts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22"/>
                <w:szCs w:val="22"/>
                <w:u w:val="none"/>
                <w:lang w:val="en-US" w:eastAsia="zh-CN" w:bidi="ar"/>
              </w:rPr>
              <w:t>招标工作开展情况</w:t>
            </w:r>
          </w:p>
        </w:tc>
        <w:tc>
          <w:tcPr>
            <w:tcW w:w="801" w:type="dxa"/>
            <w:shd w:val="clear" w:color="auto" w:fill="auto"/>
            <w:tcMar>
              <w:top w:w="60" w:type="dxa"/>
              <w:left w:w="120" w:type="dxa"/>
              <w:bottom w:w="30" w:type="dxa"/>
              <w:right w:w="120" w:type="dxa"/>
            </w:tcMar>
            <w:vAlign w:val="top"/>
          </w:tcPr>
          <w:p w14:paraId="28A195B5">
            <w:pPr>
              <w:keepNext w:val="0"/>
              <w:keepLines w:val="0"/>
              <w:widowControl/>
              <w:suppressLineNumbers w:val="0"/>
              <w:jc w:val="left"/>
              <w:textAlignment w:val="top"/>
              <w:rPr>
                <w:rFonts w:hint="default" w:ascii="Calibri" w:hAnsi="Calibri" w:eastAsia="宋体" w:cs="Times New Roman"/>
                <w:kern w:val="2"/>
                <w:sz w:val="21"/>
                <w:szCs w:val="22"/>
                <w:lang w:val="en-US" w:eastAsia="zh-CN" w:bidi="ar-SA"/>
              </w:rPr>
            </w:pPr>
            <w:r>
              <w:rPr>
                <w:rFonts w:hint="default" w:ascii="Arial" w:hAnsi="Arial" w:eastAsia="宋体" w:cs="Arial"/>
                <w:i w:val="0"/>
                <w:iCs w:val="0"/>
                <w:color w:val="000000"/>
                <w:kern w:val="0"/>
                <w:sz w:val="22"/>
                <w:szCs w:val="22"/>
                <w:u w:val="none"/>
                <w:lang w:val="en-US" w:eastAsia="zh-CN" w:bidi="ar"/>
              </w:rPr>
              <w:t>10</w:t>
            </w:r>
          </w:p>
        </w:tc>
        <w:tc>
          <w:tcPr>
            <w:tcW w:w="3648" w:type="dxa"/>
            <w:shd w:val="clear" w:color="auto" w:fill="auto"/>
            <w:tcMar>
              <w:top w:w="60" w:type="dxa"/>
              <w:left w:w="120" w:type="dxa"/>
              <w:bottom w:w="30" w:type="dxa"/>
              <w:right w:w="120" w:type="dxa"/>
            </w:tcMar>
            <w:vAlign w:val="top"/>
          </w:tcPr>
          <w:p w14:paraId="352F9C74">
            <w:pPr>
              <w:keepNext w:val="0"/>
              <w:keepLines w:val="0"/>
              <w:widowControl/>
              <w:suppressLineNumbers w:val="0"/>
              <w:jc w:val="left"/>
              <w:textAlignment w:val="top"/>
              <w:rPr>
                <w:rFonts w:ascii="Calibri" w:hAnsi="Calibri" w:eastAsia="宋体" w:cs="Times New Roman"/>
                <w:kern w:val="2"/>
                <w:sz w:val="20"/>
                <w:szCs w:val="21"/>
                <w:lang w:val="en-US" w:eastAsia="zh-CN" w:bidi="ar-SA"/>
              </w:rPr>
            </w:pPr>
            <w:r>
              <w:rPr>
                <w:rFonts w:hint="eastAsia" w:ascii="等线" w:hAnsi="等线" w:eastAsia="等线" w:cs="等线"/>
                <w:i w:val="0"/>
                <w:iCs w:val="0"/>
                <w:color w:val="000000"/>
                <w:kern w:val="0"/>
                <w:sz w:val="21"/>
                <w:szCs w:val="21"/>
                <w:u w:val="none"/>
                <w:lang w:val="en-US" w:eastAsia="zh-CN" w:bidi="ar"/>
              </w:rPr>
              <w:t>按照医院整体工作开展情况，定期报送招采规划、实施细则，未按要求报送台账等招采信息，每项扣2分</w:t>
            </w:r>
          </w:p>
        </w:tc>
        <w:tc>
          <w:tcPr>
            <w:tcW w:w="1159" w:type="dxa"/>
            <w:tcMar>
              <w:top w:w="60" w:type="dxa"/>
              <w:left w:w="120" w:type="dxa"/>
              <w:bottom w:w="30" w:type="dxa"/>
              <w:right w:w="120" w:type="dxa"/>
            </w:tcMar>
            <w:vAlign w:val="top"/>
          </w:tcPr>
          <w:p w14:paraId="669944F4">
            <w:pPr>
              <w:jc w:val="left"/>
            </w:pPr>
          </w:p>
        </w:tc>
        <w:tc>
          <w:tcPr>
            <w:tcW w:w="2349" w:type="dxa"/>
            <w:tcMar>
              <w:top w:w="60" w:type="dxa"/>
              <w:left w:w="120" w:type="dxa"/>
              <w:bottom w:w="30" w:type="dxa"/>
              <w:right w:w="120" w:type="dxa"/>
            </w:tcMar>
            <w:vAlign w:val="top"/>
          </w:tcPr>
          <w:p w14:paraId="2180B69A">
            <w:pPr>
              <w:jc w:val="left"/>
            </w:pPr>
          </w:p>
        </w:tc>
      </w:tr>
      <w:tr w14:paraId="5FCB07DB">
        <w:tblPrEx>
          <w:tblLayout w:type="fixed"/>
        </w:tblPrEx>
        <w:tc>
          <w:tcPr>
            <w:tcW w:w="890" w:type="dxa"/>
            <w:vMerge w:val="continue"/>
            <w:tcMar>
              <w:top w:w="60" w:type="dxa"/>
              <w:left w:w="120" w:type="dxa"/>
              <w:bottom w:w="30" w:type="dxa"/>
              <w:right w:w="120" w:type="dxa"/>
            </w:tcMar>
            <w:vAlign w:val="top"/>
          </w:tcPr>
          <w:p w14:paraId="019A7E99">
            <w:pPr>
              <w:jc w:val="left"/>
            </w:pPr>
          </w:p>
        </w:tc>
        <w:tc>
          <w:tcPr>
            <w:tcW w:w="1004" w:type="dxa"/>
            <w:tcMar>
              <w:top w:w="60" w:type="dxa"/>
              <w:left w:w="120" w:type="dxa"/>
              <w:bottom w:w="30" w:type="dxa"/>
              <w:right w:w="120" w:type="dxa"/>
            </w:tcMar>
            <w:vAlign w:val="top"/>
          </w:tcPr>
          <w:p w14:paraId="341FF815">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基建专业服务能力</w:t>
            </w:r>
          </w:p>
        </w:tc>
        <w:tc>
          <w:tcPr>
            <w:tcW w:w="801" w:type="dxa"/>
            <w:tcMar>
              <w:top w:w="60" w:type="dxa"/>
              <w:left w:w="120" w:type="dxa"/>
              <w:bottom w:w="30" w:type="dxa"/>
              <w:right w:w="120" w:type="dxa"/>
            </w:tcMar>
            <w:vAlign w:val="top"/>
          </w:tcPr>
          <w:p w14:paraId="297BD8A0">
            <w:pPr>
              <w:keepNext w:val="0"/>
              <w:keepLines w:val="0"/>
              <w:widowControl/>
              <w:suppressLineNumbers w:val="0"/>
              <w:jc w:val="left"/>
              <w:textAlignment w:val="top"/>
              <w:rPr>
                <w:rFonts w:hint="eastAsia" w:eastAsia="宋体"/>
                <w:lang w:val="en-US" w:eastAsia="zh-CN"/>
              </w:rPr>
            </w:pPr>
            <w:r>
              <w:rPr>
                <w:rFonts w:hint="default" w:ascii="Arial" w:hAnsi="Arial" w:eastAsia="宋体" w:cs="Arial"/>
                <w:i w:val="0"/>
                <w:iCs w:val="0"/>
                <w:color w:val="000000"/>
                <w:kern w:val="0"/>
                <w:sz w:val="22"/>
                <w:szCs w:val="22"/>
                <w:u w:val="none"/>
                <w:lang w:val="en-US" w:eastAsia="zh-CN" w:bidi="ar"/>
              </w:rPr>
              <w:t>15</w:t>
            </w:r>
          </w:p>
        </w:tc>
        <w:tc>
          <w:tcPr>
            <w:tcW w:w="3648" w:type="dxa"/>
            <w:tcMar>
              <w:top w:w="60" w:type="dxa"/>
              <w:left w:w="120" w:type="dxa"/>
              <w:bottom w:w="30" w:type="dxa"/>
              <w:right w:w="120" w:type="dxa"/>
            </w:tcMar>
            <w:vAlign w:val="top"/>
          </w:tcPr>
          <w:p w14:paraId="1146071A">
            <w:pPr>
              <w:keepNext w:val="0"/>
              <w:keepLines w:val="0"/>
              <w:widowControl/>
              <w:suppressLineNumbers w:val="0"/>
              <w:jc w:val="left"/>
              <w:textAlignment w:val="top"/>
              <w:rPr>
                <w:sz w:val="20"/>
                <w:szCs w:val="21"/>
              </w:rPr>
            </w:pPr>
            <w:r>
              <w:rPr>
                <w:rFonts w:hint="eastAsia" w:ascii="等线" w:hAnsi="等线" w:eastAsia="等线" w:cs="等线"/>
                <w:i w:val="0"/>
                <w:iCs w:val="0"/>
                <w:color w:val="000000"/>
                <w:kern w:val="0"/>
                <w:sz w:val="21"/>
                <w:szCs w:val="21"/>
                <w:u w:val="none"/>
                <w:lang w:val="en-US" w:eastAsia="zh-CN" w:bidi="ar"/>
              </w:rPr>
              <w:t>全年配备专业基建工程招标服务团队，熟悉医院基建项目特点（如医疗专项改造等），精准把控技术参数、工程量清单编制质量，无重大</w:t>
            </w:r>
            <w:r>
              <w:rPr>
                <w:rStyle w:val="9"/>
                <w:lang w:val="en-US" w:eastAsia="zh-CN" w:bidi="ar"/>
              </w:rPr>
              <w:t>失误；团队专业能力不足影响服务质量扣</w:t>
            </w:r>
            <w:r>
              <w:rPr>
                <w:rStyle w:val="10"/>
                <w:rFonts w:eastAsia="等线"/>
                <w:lang w:val="en-US" w:eastAsia="zh-CN" w:bidi="ar"/>
              </w:rPr>
              <w:t>3</w:t>
            </w:r>
            <w:r>
              <w:rPr>
                <w:rStyle w:val="9"/>
                <w:lang w:val="en-US" w:eastAsia="zh-CN" w:bidi="ar"/>
              </w:rPr>
              <w:t>分，工程量清单出现</w:t>
            </w:r>
            <w:r>
              <w:rPr>
                <w:rStyle w:val="10"/>
                <w:rFonts w:eastAsia="等线"/>
                <w:lang w:val="en-US" w:eastAsia="zh-CN" w:bidi="ar"/>
              </w:rPr>
              <w:t>1</w:t>
            </w:r>
            <w:r>
              <w:rPr>
                <w:rStyle w:val="9"/>
                <w:lang w:val="en-US" w:eastAsia="zh-CN" w:bidi="ar"/>
              </w:rPr>
              <w:t>次重大误差本项得</w:t>
            </w:r>
            <w:r>
              <w:rPr>
                <w:rStyle w:val="10"/>
                <w:rFonts w:eastAsia="等线"/>
                <w:lang w:val="en-US" w:eastAsia="zh-CN" w:bidi="ar"/>
              </w:rPr>
              <w:t>0</w:t>
            </w:r>
            <w:r>
              <w:rPr>
                <w:rStyle w:val="9"/>
                <w:lang w:val="en-US" w:eastAsia="zh-CN" w:bidi="ar"/>
              </w:rPr>
              <w:t>分。</w:t>
            </w:r>
          </w:p>
        </w:tc>
        <w:tc>
          <w:tcPr>
            <w:tcW w:w="1159" w:type="dxa"/>
            <w:tcMar>
              <w:top w:w="60" w:type="dxa"/>
              <w:left w:w="120" w:type="dxa"/>
              <w:bottom w:w="30" w:type="dxa"/>
              <w:right w:w="120" w:type="dxa"/>
            </w:tcMar>
            <w:vAlign w:val="top"/>
          </w:tcPr>
          <w:p w14:paraId="536A62CB">
            <w:pPr>
              <w:jc w:val="left"/>
            </w:pPr>
          </w:p>
        </w:tc>
        <w:tc>
          <w:tcPr>
            <w:tcW w:w="2349" w:type="dxa"/>
            <w:tcMar>
              <w:top w:w="60" w:type="dxa"/>
              <w:left w:w="120" w:type="dxa"/>
              <w:bottom w:w="30" w:type="dxa"/>
              <w:right w:w="120" w:type="dxa"/>
            </w:tcMar>
            <w:vAlign w:val="top"/>
          </w:tcPr>
          <w:p w14:paraId="4D03D9B3">
            <w:pPr>
              <w:jc w:val="left"/>
            </w:pPr>
          </w:p>
        </w:tc>
      </w:tr>
      <w:tr w14:paraId="20510410">
        <w:tblPrEx>
          <w:tblLayout w:type="fixed"/>
        </w:tblPrEx>
        <w:tc>
          <w:tcPr>
            <w:tcW w:w="890" w:type="dxa"/>
            <w:vMerge w:val="continue"/>
            <w:tcMar>
              <w:top w:w="60" w:type="dxa"/>
              <w:left w:w="120" w:type="dxa"/>
              <w:bottom w:w="30" w:type="dxa"/>
              <w:right w:w="120" w:type="dxa"/>
            </w:tcMar>
            <w:vAlign w:val="top"/>
          </w:tcPr>
          <w:p w14:paraId="0D2B50DF">
            <w:pPr>
              <w:jc w:val="left"/>
            </w:pPr>
          </w:p>
        </w:tc>
        <w:tc>
          <w:tcPr>
            <w:tcW w:w="1004" w:type="dxa"/>
            <w:tcMar>
              <w:top w:w="60" w:type="dxa"/>
              <w:left w:w="120" w:type="dxa"/>
              <w:bottom w:w="30" w:type="dxa"/>
              <w:right w:w="120" w:type="dxa"/>
            </w:tcMar>
            <w:vAlign w:val="top"/>
          </w:tcPr>
          <w:p w14:paraId="321B0D0D">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招标流程效率</w:t>
            </w:r>
          </w:p>
        </w:tc>
        <w:tc>
          <w:tcPr>
            <w:tcW w:w="801" w:type="dxa"/>
            <w:tcMar>
              <w:top w:w="60" w:type="dxa"/>
              <w:left w:w="120" w:type="dxa"/>
              <w:bottom w:w="30" w:type="dxa"/>
              <w:right w:w="120" w:type="dxa"/>
            </w:tcMar>
            <w:vAlign w:val="top"/>
          </w:tcPr>
          <w:p w14:paraId="2ED1FFA2">
            <w:pPr>
              <w:keepNext w:val="0"/>
              <w:keepLines w:val="0"/>
              <w:widowControl/>
              <w:suppressLineNumbers w:val="0"/>
              <w:jc w:val="left"/>
              <w:textAlignment w:val="top"/>
              <w:rPr>
                <w:rFonts w:hint="eastAsia" w:eastAsia="宋体"/>
                <w:lang w:val="en-US" w:eastAsia="zh-CN"/>
              </w:rPr>
            </w:pPr>
            <w:r>
              <w:rPr>
                <w:rFonts w:hint="default" w:ascii="Arial" w:hAnsi="Arial" w:eastAsia="宋体" w:cs="Arial"/>
                <w:i w:val="0"/>
                <w:iCs w:val="0"/>
                <w:color w:val="000000"/>
                <w:kern w:val="0"/>
                <w:sz w:val="22"/>
                <w:szCs w:val="22"/>
                <w:u w:val="none"/>
                <w:lang w:val="en-US" w:eastAsia="zh-CN" w:bidi="ar"/>
              </w:rPr>
              <w:t>10</w:t>
            </w:r>
          </w:p>
        </w:tc>
        <w:tc>
          <w:tcPr>
            <w:tcW w:w="3648" w:type="dxa"/>
            <w:tcMar>
              <w:top w:w="60" w:type="dxa"/>
              <w:left w:w="120" w:type="dxa"/>
              <w:bottom w:w="30" w:type="dxa"/>
              <w:right w:w="120" w:type="dxa"/>
            </w:tcMar>
            <w:vAlign w:val="top"/>
          </w:tcPr>
          <w:p w14:paraId="329281EA">
            <w:pPr>
              <w:keepNext w:val="0"/>
              <w:keepLines w:val="0"/>
              <w:widowControl/>
              <w:suppressLineNumbers w:val="0"/>
              <w:jc w:val="left"/>
              <w:textAlignment w:val="top"/>
              <w:rPr>
                <w:sz w:val="20"/>
                <w:szCs w:val="21"/>
              </w:rPr>
            </w:pPr>
            <w:r>
              <w:rPr>
                <w:rFonts w:hint="eastAsia" w:ascii="等线" w:hAnsi="等线" w:eastAsia="等线" w:cs="等线"/>
                <w:i w:val="0"/>
                <w:iCs w:val="0"/>
                <w:color w:val="000000"/>
                <w:kern w:val="0"/>
                <w:sz w:val="21"/>
                <w:szCs w:val="21"/>
                <w:u w:val="none"/>
                <w:lang w:val="en-US" w:eastAsia="zh-CN" w:bidi="ar"/>
              </w:rPr>
              <w:t>全年严格按照医院基建工程进度要求推进所有招标工作，及时发布公告、组织开标评标，无无故拖延，均按时完成招标全流程；单批次招标每拖延</w:t>
            </w:r>
            <w:r>
              <w:rPr>
                <w:rStyle w:val="10"/>
                <w:rFonts w:eastAsia="等线"/>
                <w:lang w:val="en-US" w:eastAsia="zh-CN" w:bidi="ar"/>
              </w:rPr>
              <w:t>1</w:t>
            </w:r>
            <w:r>
              <w:rPr>
                <w:rStyle w:val="9"/>
                <w:lang w:val="en-US" w:eastAsia="zh-CN" w:bidi="ar"/>
              </w:rPr>
              <w:t>个工作日扣</w:t>
            </w:r>
            <w:r>
              <w:rPr>
                <w:rStyle w:val="10"/>
                <w:rFonts w:eastAsia="等线"/>
                <w:lang w:val="en-US" w:eastAsia="zh-CN" w:bidi="ar"/>
              </w:rPr>
              <w:t>1</w:t>
            </w:r>
            <w:r>
              <w:rPr>
                <w:rStyle w:val="9"/>
                <w:lang w:val="en-US" w:eastAsia="zh-CN" w:bidi="ar"/>
              </w:rPr>
              <w:t>分，单批次拖延超过</w:t>
            </w:r>
            <w:r>
              <w:rPr>
                <w:rStyle w:val="10"/>
                <w:rFonts w:eastAsia="等线"/>
                <w:lang w:val="en-US" w:eastAsia="zh-CN" w:bidi="ar"/>
              </w:rPr>
              <w:t>7</w:t>
            </w:r>
            <w:r>
              <w:rPr>
                <w:rStyle w:val="9"/>
                <w:lang w:val="en-US" w:eastAsia="zh-CN" w:bidi="ar"/>
              </w:rPr>
              <w:t>个工作日扣</w:t>
            </w:r>
            <w:r>
              <w:rPr>
                <w:rStyle w:val="10"/>
                <w:rFonts w:eastAsia="等线"/>
                <w:lang w:val="en-US" w:eastAsia="zh-CN" w:bidi="ar"/>
              </w:rPr>
              <w:t>7</w:t>
            </w:r>
            <w:r>
              <w:rPr>
                <w:rStyle w:val="9"/>
                <w:lang w:val="en-US" w:eastAsia="zh-CN" w:bidi="ar"/>
              </w:rPr>
              <w:t>分，全年累计</w:t>
            </w:r>
            <w:r>
              <w:rPr>
                <w:rStyle w:val="10"/>
                <w:rFonts w:eastAsia="等线"/>
                <w:lang w:val="en-US" w:eastAsia="zh-CN" w:bidi="ar"/>
              </w:rPr>
              <w:t>2</w:t>
            </w:r>
            <w:r>
              <w:rPr>
                <w:rStyle w:val="9"/>
                <w:lang w:val="en-US" w:eastAsia="zh-CN" w:bidi="ar"/>
              </w:rPr>
              <w:t>次及以上拖延超</w:t>
            </w:r>
            <w:r>
              <w:rPr>
                <w:rStyle w:val="10"/>
                <w:rFonts w:eastAsia="等线"/>
                <w:lang w:val="en-US" w:eastAsia="zh-CN" w:bidi="ar"/>
              </w:rPr>
              <w:t>7</w:t>
            </w:r>
            <w:r>
              <w:rPr>
                <w:rStyle w:val="9"/>
                <w:lang w:val="en-US" w:eastAsia="zh-CN" w:bidi="ar"/>
              </w:rPr>
              <w:t>个工作日本项得</w:t>
            </w:r>
            <w:r>
              <w:rPr>
                <w:rStyle w:val="10"/>
                <w:rFonts w:eastAsia="等线"/>
                <w:lang w:val="en-US" w:eastAsia="zh-CN" w:bidi="ar"/>
              </w:rPr>
              <w:t>0</w:t>
            </w:r>
            <w:r>
              <w:rPr>
                <w:rStyle w:val="9"/>
                <w:lang w:val="en-US" w:eastAsia="zh-CN" w:bidi="ar"/>
              </w:rPr>
              <w:t>分。</w:t>
            </w:r>
          </w:p>
        </w:tc>
        <w:tc>
          <w:tcPr>
            <w:tcW w:w="1159" w:type="dxa"/>
            <w:tcMar>
              <w:top w:w="60" w:type="dxa"/>
              <w:left w:w="120" w:type="dxa"/>
              <w:bottom w:w="30" w:type="dxa"/>
              <w:right w:w="120" w:type="dxa"/>
            </w:tcMar>
            <w:vAlign w:val="top"/>
          </w:tcPr>
          <w:p w14:paraId="04255BE8">
            <w:pPr>
              <w:jc w:val="left"/>
            </w:pPr>
          </w:p>
        </w:tc>
        <w:tc>
          <w:tcPr>
            <w:tcW w:w="2349" w:type="dxa"/>
            <w:tcMar>
              <w:top w:w="60" w:type="dxa"/>
              <w:left w:w="120" w:type="dxa"/>
              <w:bottom w:w="30" w:type="dxa"/>
              <w:right w:w="120" w:type="dxa"/>
            </w:tcMar>
            <w:vAlign w:val="top"/>
          </w:tcPr>
          <w:p w14:paraId="11A3CA4F">
            <w:pPr>
              <w:jc w:val="left"/>
            </w:pPr>
          </w:p>
        </w:tc>
      </w:tr>
      <w:tr w14:paraId="72D80850">
        <w:tblPrEx>
          <w:tblLayout w:type="fixed"/>
        </w:tblPrEx>
        <w:tc>
          <w:tcPr>
            <w:tcW w:w="890" w:type="dxa"/>
            <w:vMerge w:val="continue"/>
            <w:tcMar>
              <w:top w:w="60" w:type="dxa"/>
              <w:left w:w="120" w:type="dxa"/>
              <w:bottom w:w="30" w:type="dxa"/>
              <w:right w:w="120" w:type="dxa"/>
            </w:tcMar>
            <w:vAlign w:val="top"/>
          </w:tcPr>
          <w:p w14:paraId="6FE6245E">
            <w:pPr>
              <w:jc w:val="left"/>
            </w:pPr>
          </w:p>
        </w:tc>
        <w:tc>
          <w:tcPr>
            <w:tcW w:w="1004" w:type="dxa"/>
            <w:tcMar>
              <w:top w:w="60" w:type="dxa"/>
              <w:left w:w="120" w:type="dxa"/>
              <w:bottom w:w="30" w:type="dxa"/>
              <w:right w:w="120" w:type="dxa"/>
            </w:tcMar>
            <w:vAlign w:val="top"/>
          </w:tcPr>
          <w:p w14:paraId="57054B01">
            <w:pPr>
              <w:keepNext w:val="0"/>
              <w:keepLines w:val="0"/>
              <w:widowControl/>
              <w:suppressLineNumbers w:val="0"/>
              <w:jc w:val="left"/>
              <w:textAlignment w:val="top"/>
            </w:pPr>
            <w:r>
              <w:rPr>
                <w:rFonts w:hint="eastAsia" w:ascii="等线" w:hAnsi="等线" w:eastAsia="等线" w:cs="等线"/>
                <w:i w:val="0"/>
                <w:iCs w:val="0"/>
                <w:color w:val="000000"/>
                <w:kern w:val="0"/>
                <w:sz w:val="22"/>
                <w:szCs w:val="22"/>
                <w:u w:val="none"/>
                <w:lang w:val="en-US" w:eastAsia="zh-CN" w:bidi="ar"/>
              </w:rPr>
              <w:t>异议处理能力</w:t>
            </w:r>
          </w:p>
        </w:tc>
        <w:tc>
          <w:tcPr>
            <w:tcW w:w="801" w:type="dxa"/>
            <w:tcMar>
              <w:top w:w="60" w:type="dxa"/>
              <w:left w:w="120" w:type="dxa"/>
              <w:bottom w:w="30" w:type="dxa"/>
              <w:right w:w="120" w:type="dxa"/>
            </w:tcMar>
            <w:vAlign w:val="top"/>
          </w:tcPr>
          <w:p w14:paraId="1EB46BD4">
            <w:pPr>
              <w:keepNext w:val="0"/>
              <w:keepLines w:val="0"/>
              <w:widowControl/>
              <w:suppressLineNumbers w:val="0"/>
              <w:jc w:val="left"/>
              <w:textAlignment w:val="top"/>
              <w:rPr>
                <w:rFonts w:hint="eastAsia" w:eastAsia="宋体"/>
                <w:lang w:val="en-US" w:eastAsia="zh-CN"/>
              </w:rPr>
            </w:pPr>
            <w:r>
              <w:rPr>
                <w:rFonts w:hint="default" w:ascii="Arial" w:hAnsi="Arial" w:eastAsia="宋体" w:cs="Arial"/>
                <w:i w:val="0"/>
                <w:iCs w:val="0"/>
                <w:color w:val="000000"/>
                <w:kern w:val="0"/>
                <w:sz w:val="22"/>
                <w:szCs w:val="22"/>
                <w:u w:val="none"/>
                <w:lang w:val="en-US" w:eastAsia="zh-CN" w:bidi="ar"/>
              </w:rPr>
              <w:t>10</w:t>
            </w:r>
          </w:p>
        </w:tc>
        <w:tc>
          <w:tcPr>
            <w:tcW w:w="3648" w:type="dxa"/>
            <w:tcMar>
              <w:top w:w="60" w:type="dxa"/>
              <w:left w:w="120" w:type="dxa"/>
              <w:bottom w:w="30" w:type="dxa"/>
              <w:right w:w="120" w:type="dxa"/>
            </w:tcMar>
            <w:vAlign w:val="top"/>
          </w:tcPr>
          <w:p w14:paraId="55AACFD5">
            <w:pPr>
              <w:keepNext w:val="0"/>
              <w:keepLines w:val="0"/>
              <w:widowControl/>
              <w:suppressLineNumbers w:val="0"/>
              <w:jc w:val="left"/>
              <w:textAlignment w:val="top"/>
              <w:rPr>
                <w:sz w:val="20"/>
                <w:szCs w:val="21"/>
              </w:rPr>
            </w:pPr>
            <w:r>
              <w:rPr>
                <w:rFonts w:hint="eastAsia" w:ascii="等线" w:hAnsi="等线" w:eastAsia="等线" w:cs="等线"/>
                <w:i w:val="0"/>
                <w:iCs w:val="0"/>
                <w:color w:val="000000"/>
                <w:kern w:val="0"/>
                <w:sz w:val="21"/>
                <w:szCs w:val="21"/>
                <w:u w:val="none"/>
                <w:lang w:val="en-US" w:eastAsia="zh-CN" w:bidi="ar"/>
              </w:rPr>
              <w:t>全年针对基建工程招标过程中的所有投标异议、质疑，均能及时响应、依法依规核查处理，反馈清晰，妥善化解矛盾，无投诉或纠纷；单次异议响应不及时扣</w:t>
            </w:r>
            <w:r>
              <w:rPr>
                <w:rStyle w:val="10"/>
                <w:rFonts w:eastAsia="等线"/>
                <w:lang w:val="en-US" w:eastAsia="zh-CN" w:bidi="ar"/>
              </w:rPr>
              <w:t>2</w:t>
            </w:r>
            <w:r>
              <w:rPr>
                <w:rStyle w:val="9"/>
                <w:lang w:val="en-US" w:eastAsia="zh-CN" w:bidi="ar"/>
              </w:rPr>
              <w:t>分，单次处理不当引发投诉或纠纷扣</w:t>
            </w:r>
            <w:r>
              <w:rPr>
                <w:rStyle w:val="10"/>
                <w:rFonts w:eastAsia="等线"/>
                <w:lang w:val="en-US" w:eastAsia="zh-CN" w:bidi="ar"/>
              </w:rPr>
              <w:t>7</w:t>
            </w:r>
            <w:r>
              <w:rPr>
                <w:rStyle w:val="9"/>
                <w:lang w:val="en-US" w:eastAsia="zh-CN" w:bidi="ar"/>
              </w:rPr>
              <w:t>分，全年累计</w:t>
            </w:r>
            <w:r>
              <w:rPr>
                <w:rStyle w:val="10"/>
                <w:rFonts w:eastAsia="等线"/>
                <w:lang w:val="en-US" w:eastAsia="zh-CN" w:bidi="ar"/>
              </w:rPr>
              <w:t>2</w:t>
            </w:r>
            <w:r>
              <w:rPr>
                <w:rStyle w:val="9"/>
                <w:lang w:val="en-US" w:eastAsia="zh-CN" w:bidi="ar"/>
              </w:rPr>
              <w:t>次及以上引发投诉本项得</w:t>
            </w:r>
            <w:r>
              <w:rPr>
                <w:rStyle w:val="10"/>
                <w:rFonts w:eastAsia="等线"/>
                <w:lang w:val="en-US" w:eastAsia="zh-CN" w:bidi="ar"/>
              </w:rPr>
              <w:t>0</w:t>
            </w:r>
            <w:r>
              <w:rPr>
                <w:rStyle w:val="9"/>
                <w:lang w:val="en-US" w:eastAsia="zh-CN" w:bidi="ar"/>
              </w:rPr>
              <w:t>分。</w:t>
            </w:r>
          </w:p>
        </w:tc>
        <w:tc>
          <w:tcPr>
            <w:tcW w:w="1159" w:type="dxa"/>
            <w:tcMar>
              <w:top w:w="60" w:type="dxa"/>
              <w:left w:w="120" w:type="dxa"/>
              <w:bottom w:w="30" w:type="dxa"/>
              <w:right w:w="120" w:type="dxa"/>
            </w:tcMar>
            <w:vAlign w:val="top"/>
          </w:tcPr>
          <w:p w14:paraId="78C01806">
            <w:pPr>
              <w:jc w:val="left"/>
            </w:pPr>
          </w:p>
        </w:tc>
        <w:tc>
          <w:tcPr>
            <w:tcW w:w="2349" w:type="dxa"/>
            <w:tcMar>
              <w:top w:w="60" w:type="dxa"/>
              <w:left w:w="120" w:type="dxa"/>
              <w:bottom w:w="30" w:type="dxa"/>
              <w:right w:w="120" w:type="dxa"/>
            </w:tcMar>
            <w:vAlign w:val="center"/>
          </w:tcPr>
          <w:p w14:paraId="59FB3B5F">
            <w:pPr/>
          </w:p>
        </w:tc>
      </w:tr>
      <w:tr w14:paraId="312578A2">
        <w:tblPrEx>
          <w:tblLayout w:type="fixed"/>
        </w:tblPrEx>
        <w:tc>
          <w:tcPr>
            <w:tcW w:w="1894" w:type="dxa"/>
            <w:gridSpan w:val="2"/>
            <w:tcMar>
              <w:top w:w="60" w:type="dxa"/>
              <w:left w:w="120" w:type="dxa"/>
              <w:bottom w:w="30" w:type="dxa"/>
              <w:right w:w="120" w:type="dxa"/>
            </w:tcMar>
            <w:vAlign w:val="top"/>
          </w:tcPr>
          <w:p w14:paraId="17BE1FEB">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合计</w:t>
            </w:r>
          </w:p>
        </w:tc>
        <w:tc>
          <w:tcPr>
            <w:tcW w:w="801" w:type="dxa"/>
            <w:tcMar>
              <w:top w:w="60" w:type="dxa"/>
              <w:left w:w="120" w:type="dxa"/>
              <w:bottom w:w="30" w:type="dxa"/>
              <w:right w:w="120" w:type="dxa"/>
            </w:tcMar>
            <w:vAlign w:val="top"/>
          </w:tcPr>
          <w:p w14:paraId="1CC9AF54">
            <w:pPr>
              <w:keepNext w:val="0"/>
              <w:keepLines w:val="0"/>
              <w:widowControl/>
              <w:suppressLineNumbers w:val="0"/>
              <w:jc w:val="left"/>
              <w:textAlignment w:val="top"/>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100</w:t>
            </w:r>
          </w:p>
        </w:tc>
        <w:tc>
          <w:tcPr>
            <w:tcW w:w="7156" w:type="dxa"/>
            <w:gridSpan w:val="3"/>
            <w:tcMar>
              <w:top w:w="60" w:type="dxa"/>
              <w:left w:w="120" w:type="dxa"/>
              <w:bottom w:w="30" w:type="dxa"/>
              <w:right w:w="120" w:type="dxa"/>
            </w:tcMar>
            <w:vAlign w:val="top"/>
          </w:tcPr>
          <w:p w14:paraId="1A0BB2A1">
            <w:pPr>
              <w:keepNext w:val="0"/>
              <w:keepLines w:val="0"/>
              <w:widowControl/>
              <w:suppressLineNumbers w:val="0"/>
              <w:jc w:val="left"/>
              <w:textAlignment w:val="top"/>
            </w:pPr>
            <w:r>
              <w:rPr>
                <w:rFonts w:hint="eastAsia" w:ascii="等线" w:hAnsi="等线" w:eastAsia="等线" w:cs="等线"/>
                <w:i w:val="0"/>
                <w:iCs w:val="0"/>
                <w:color w:val="000000"/>
                <w:kern w:val="0"/>
                <w:sz w:val="21"/>
                <w:szCs w:val="21"/>
                <w:u w:val="none"/>
                <w:lang w:val="en-US" w:eastAsia="zh-CN" w:bidi="ar"/>
              </w:rPr>
              <w:t>总分100分，90分及以上为优秀，80-89分为良好，70-79分为合格，70分以下为不合格；本次年度评价结果为代理机构续约核心依据，评价不合格的，将不再续用；评价合格及以上的，结合实际合作情况确定是否续用。</w:t>
            </w:r>
          </w:p>
        </w:tc>
      </w:tr>
    </w:tbl>
    <w:p w14:paraId="5673D6B8">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E9F5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9B1203">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A&#10;">
              <v:fill on="f" focussize="0,0"/>
              <v:stroke on="f"/>
              <v:imagedata o:title=""/>
              <o:lock v:ext="edit" aspectratio="f"/>
              <v:textbox inset="0mm,0mm,0mm,0mm" style="mso-fit-shape-to-text:t;">
                <w:txbxContent>
                  <w:p w14:paraId="369B1203">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619C8">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B5BDB0"/>
    <w:multiLevelType w:val="singleLevel"/>
    <w:tmpl w:val="A8B5BD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Body Text First Indent 2"/>
    <w:basedOn w:val="2"/>
    <w:unhideWhenUsed/>
    <w:qFormat/>
    <w:uiPriority w:val="99"/>
    <w:pPr>
      <w:ind w:firstLine="420"/>
    </w:p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8">
    <w:name w:val="Body Text Indent"/>
    <w:basedOn w:val="1"/>
    <w:qFormat/>
    <w:uiPriority w:val="0"/>
    <w:pPr>
      <w:ind w:firstLine="645"/>
    </w:pPr>
    <w:rPr>
      <w:rFonts w:ascii="仿宋_GB2312" w:hAnsi="Times New Roman" w:eastAsia="仿宋_GB2312" w:cs="Times New Roman"/>
      <w:color w:val="FF0000"/>
      <w:sz w:val="32"/>
      <w:szCs w:val="24"/>
    </w:rPr>
  </w:style>
  <w:style w:type="character" w:customStyle="1" w:styleId="9">
    <w:name w:val="font31"/>
    <w:basedOn w:val="6"/>
    <w:uiPriority w:val="0"/>
    <w:rPr>
      <w:rFonts w:hint="eastAsia" w:ascii="等线" w:hAnsi="等线" w:eastAsia="等线" w:cs="等线"/>
      <w:color w:val="000000"/>
      <w:sz w:val="21"/>
      <w:szCs w:val="21"/>
      <w:u w:val="none"/>
    </w:rPr>
  </w:style>
  <w:style w:type="character" w:customStyle="1" w:styleId="10">
    <w:name w:val="font51"/>
    <w:basedOn w:val="6"/>
    <w:qFormat/>
    <w:uiPriority w:val="0"/>
    <w:rPr>
      <w:rFonts w:ascii="Arial" w:hAnsi="Arial" w:cs="Arial"/>
      <w:color w:val="000000"/>
      <w:sz w:val="21"/>
      <w:szCs w:val="21"/>
      <w:u w:val="none"/>
    </w:rPr>
  </w:style>
  <w:style w:type="character" w:customStyle="1" w:styleId="11">
    <w:name w:val="font21"/>
    <w:basedOn w:val="6"/>
    <w:uiPriority w:val="0"/>
    <w:rPr>
      <w:rFonts w:hint="default" w:ascii="Arial" w:hAnsi="Arial" w:cs="Arial"/>
      <w:color w:val="000000"/>
      <w:sz w:val="22"/>
      <w:szCs w:val="22"/>
      <w:u w:val="none"/>
    </w:rPr>
  </w:style>
  <w:style w:type="character" w:customStyle="1" w:styleId="12">
    <w:name w:val="font11"/>
    <w:basedOn w:val="6"/>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3575</Words>
  <Characters>3619</Characters>
  <Lines>0</Lines>
  <Paragraphs>0</Paragraphs>
  <ScaleCrop>false</ScaleCrop>
  <LinksUpToDate>false</LinksUpToDate>
  <CharactersWithSpaces>4042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2026-02-10T00:51:00Z</dcterms:created>
  <dc:creator>娃娃麻麻</dc:creator>
  <cp:lastModifiedBy>iPhone</cp:lastModifiedBy>
  <dcterms:modified xsi:type="dcterms:W3CDTF">2026-02-09T23:21:44Z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2052-12.20.0</vt:lpwstr>
  </property>
  <property fmtid="{D5CDD505-2E9C-101B-9397-08002B2CF9AE}" pid="3" name="ICV">
    <vt:lpwstr>BC7114ADDFE94E54A19E2A1BDC59C76F_11</vt:lpwstr>
  </property>
  <property fmtid="{D5CDD505-2E9C-101B-9397-08002B2CF9AE}" pid="4" name="KSOTemplateDocerSaveRecord">
    <vt:lpwstr>eyJoZGlkIjoiN2ExNjNlMjMzNTAzYzI0NzNiMGZlYmE4YjFmMTk3NDgiLCJ1c2VySWQiOiI0NDMzOTg1NzQifQ==</vt:lpwstr>
  </property>
</Properties>
</file>