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3B7F" w:rsidRPr="00786F6C" w:rsidRDefault="00A11006" w:rsidP="00786F6C">
      <w:pPr>
        <w:ind w:leftChars="-1" w:left="-2" w:firstLineChars="0" w:firstLine="2"/>
        <w:rPr>
          <w:b/>
          <w:sz w:val="28"/>
        </w:rPr>
      </w:pPr>
      <w:r w:rsidRPr="00786F6C">
        <w:rPr>
          <w:rFonts w:hint="eastAsia"/>
          <w:b/>
          <w:sz w:val="28"/>
        </w:rPr>
        <w:t>采购需求</w:t>
      </w:r>
    </w:p>
    <w:p w:rsidR="00E63B7F" w:rsidRDefault="00A11006">
      <w:pPr>
        <w:pStyle w:val="1"/>
        <w:numPr>
          <w:ilvl w:val="0"/>
          <w:numId w:val="0"/>
        </w:numPr>
        <w:rPr>
          <w:rFonts w:ascii="宋体" w:hAnsi="宋体"/>
          <w:sz w:val="24"/>
          <w:szCs w:val="24"/>
        </w:rPr>
      </w:pPr>
      <w:bookmarkStart w:id="0" w:name="_Toc11499"/>
      <w:r>
        <w:rPr>
          <w:rFonts w:ascii="宋体" w:hAnsi="宋体" w:hint="eastAsia"/>
          <w:sz w:val="24"/>
          <w:szCs w:val="24"/>
        </w:rPr>
        <w:t>（一）项目背景</w:t>
      </w:r>
      <w:bookmarkEnd w:id="0"/>
    </w:p>
    <w:p w:rsidR="00E63B7F" w:rsidRDefault="00A11006">
      <w:pPr>
        <w:spacing w:beforeLines="100" w:before="312" w:after="26" w:line="400" w:lineRule="exact"/>
        <w:ind w:firstLine="448"/>
        <w:rPr>
          <w:color w:val="000000"/>
          <w:spacing w:val="-8"/>
          <w:szCs w:val="21"/>
        </w:rPr>
      </w:pPr>
      <w:r>
        <w:rPr>
          <w:rFonts w:hint="eastAsia"/>
          <w:color w:val="000000"/>
          <w:spacing w:val="-8"/>
          <w:szCs w:val="21"/>
        </w:rPr>
        <w:t>传统的剂量 QA 验证是通过电离室/胶片</w:t>
      </w:r>
      <w:proofErr w:type="gramStart"/>
      <w:r>
        <w:rPr>
          <w:rFonts w:hint="eastAsia"/>
          <w:color w:val="000000"/>
          <w:spacing w:val="-8"/>
          <w:szCs w:val="21"/>
        </w:rPr>
        <w:t>结合水模体来</w:t>
      </w:r>
      <w:proofErr w:type="gramEnd"/>
      <w:r>
        <w:rPr>
          <w:rFonts w:hint="eastAsia"/>
          <w:color w:val="000000"/>
          <w:spacing w:val="-8"/>
          <w:szCs w:val="21"/>
        </w:rPr>
        <w:t>进行治疗前的实验验证。这种验证方式虽然以实测剂量来验证剂量计算准确度，</w:t>
      </w:r>
      <w:r w:rsidR="00E40265">
        <w:rPr>
          <w:rFonts w:hint="eastAsia"/>
          <w:color w:val="000000"/>
          <w:spacing w:val="-8"/>
          <w:szCs w:val="21"/>
        </w:rPr>
        <w:t>但用均匀的水箱不能代替复杂的人体</w:t>
      </w:r>
      <w:r>
        <w:rPr>
          <w:rFonts w:hint="eastAsia"/>
          <w:color w:val="000000"/>
          <w:spacing w:val="-8"/>
          <w:szCs w:val="21"/>
        </w:rPr>
        <w:t>；同时，验证需要</w:t>
      </w:r>
      <w:proofErr w:type="gramStart"/>
      <w:r>
        <w:rPr>
          <w:rFonts w:hint="eastAsia"/>
          <w:color w:val="000000"/>
          <w:spacing w:val="-8"/>
          <w:szCs w:val="21"/>
        </w:rPr>
        <w:t>布置模体电离室</w:t>
      </w:r>
      <w:proofErr w:type="gramEnd"/>
      <w:r>
        <w:rPr>
          <w:rFonts w:hint="eastAsia"/>
          <w:color w:val="000000"/>
          <w:spacing w:val="-8"/>
          <w:szCs w:val="21"/>
        </w:rPr>
        <w:t>，费时费力，无法满足科室</w:t>
      </w:r>
      <w:r w:rsidR="00A15405">
        <w:rPr>
          <w:rFonts w:hint="eastAsia"/>
          <w:color w:val="000000"/>
          <w:spacing w:val="-8"/>
          <w:szCs w:val="21"/>
        </w:rPr>
        <w:t>数量</w:t>
      </w:r>
      <w:r>
        <w:rPr>
          <w:rFonts w:hint="eastAsia"/>
          <w:color w:val="000000"/>
          <w:spacing w:val="-8"/>
          <w:szCs w:val="21"/>
        </w:rPr>
        <w:t>众多</w:t>
      </w:r>
      <w:r w:rsidR="00A15405">
        <w:rPr>
          <w:rFonts w:hint="eastAsia"/>
          <w:color w:val="000000"/>
          <w:spacing w:val="-8"/>
          <w:szCs w:val="21"/>
        </w:rPr>
        <w:t>的</w:t>
      </w:r>
      <w:r>
        <w:rPr>
          <w:rFonts w:hint="eastAsia"/>
          <w:color w:val="000000"/>
          <w:spacing w:val="-8"/>
          <w:szCs w:val="21"/>
        </w:rPr>
        <w:t>病人治疗</w:t>
      </w:r>
      <w:r w:rsidR="00A15405">
        <w:rPr>
          <w:rFonts w:hint="eastAsia"/>
          <w:color w:val="000000"/>
          <w:spacing w:val="-8"/>
          <w:szCs w:val="21"/>
        </w:rPr>
        <w:t>验证</w:t>
      </w:r>
      <w:r>
        <w:rPr>
          <w:rFonts w:hint="eastAsia"/>
          <w:color w:val="000000"/>
          <w:spacing w:val="-8"/>
          <w:szCs w:val="21"/>
        </w:rPr>
        <w:t>需要。 此外，治疗计划的</w:t>
      </w:r>
      <w:proofErr w:type="gramStart"/>
      <w:r>
        <w:rPr>
          <w:rFonts w:hint="eastAsia"/>
          <w:color w:val="000000"/>
          <w:spacing w:val="-8"/>
          <w:szCs w:val="21"/>
        </w:rPr>
        <w:t>验证仅</w:t>
      </w:r>
      <w:proofErr w:type="gramEnd"/>
      <w:r>
        <w:rPr>
          <w:rFonts w:hint="eastAsia"/>
          <w:color w:val="000000"/>
          <w:spacing w:val="-8"/>
          <w:szCs w:val="21"/>
        </w:rPr>
        <w:t xml:space="preserve">限于治疗前验证，无法实现治疗全过程的剂量跟踪。 </w:t>
      </w:r>
    </w:p>
    <w:p w:rsidR="00E63B7F" w:rsidRDefault="00A11006">
      <w:pPr>
        <w:spacing w:beforeLines="100" w:before="312" w:after="26" w:line="400" w:lineRule="exact"/>
        <w:ind w:firstLine="448"/>
        <w:rPr>
          <w:color w:val="000000"/>
          <w:spacing w:val="-8"/>
          <w:szCs w:val="21"/>
        </w:rPr>
      </w:pPr>
      <w:r>
        <w:rPr>
          <w:rFonts w:hint="eastAsia"/>
          <w:color w:val="000000"/>
          <w:spacing w:val="-8"/>
          <w:szCs w:val="21"/>
        </w:rPr>
        <w:t>基于蒙特卡洛算法的实时智能验证系统采用蒙特卡洛这一辐射剂量计算的“黄金标准”算法，全面考虑人体三维、非均匀介质中高能电离粒子相互作用。通过 GPU加速等并行计算技术，把原来准确但是费时的计算任务变成“实时蒙特卡罗辐射剂量计算”，能够广泛应用于临床肿瘤治疗，其计算速度可以实现患者治疗过程中实际剂量的验证和跟踪，充分提高放射治疗的准确度和治疗效果。</w:t>
      </w:r>
      <w:r>
        <w:rPr>
          <w:color w:val="000000"/>
          <w:spacing w:val="-8"/>
          <w:szCs w:val="21"/>
        </w:rPr>
        <w:t xml:space="preserve"> </w:t>
      </w:r>
    </w:p>
    <w:p w:rsidR="00E63B7F" w:rsidRDefault="00A11006">
      <w:pPr>
        <w:spacing w:beforeLines="100" w:before="312" w:after="26" w:line="400" w:lineRule="exact"/>
        <w:ind w:firstLine="448"/>
        <w:rPr>
          <w:color w:val="000000"/>
          <w:spacing w:val="-8"/>
          <w:szCs w:val="21"/>
        </w:rPr>
      </w:pPr>
      <w:r>
        <w:rPr>
          <w:rFonts w:hint="eastAsia"/>
          <w:color w:val="000000"/>
          <w:spacing w:val="-8"/>
          <w:szCs w:val="21"/>
        </w:rPr>
        <w:t>基于蒙特卡洛算法的实时智能验证系统可以对患者的每次放疗治疗进行自动验证，可以充分监测多次治疗过程中靶区的变化，实时调整放射治疗方案，使患者得到更精准的治疗，大大提升之前</w:t>
      </w:r>
      <w:proofErr w:type="gramStart"/>
      <w:r>
        <w:rPr>
          <w:rFonts w:hint="eastAsia"/>
          <w:color w:val="000000"/>
          <w:spacing w:val="-8"/>
          <w:szCs w:val="21"/>
        </w:rPr>
        <w:t>用模体时</w:t>
      </w:r>
      <w:proofErr w:type="gramEnd"/>
      <w:r>
        <w:rPr>
          <w:rFonts w:hint="eastAsia"/>
          <w:color w:val="000000"/>
          <w:spacing w:val="-8"/>
          <w:szCs w:val="21"/>
        </w:rPr>
        <w:t>只能验证一次的精确度。</w:t>
      </w:r>
    </w:p>
    <w:p w:rsidR="00E63B7F" w:rsidRDefault="00A11006">
      <w:pPr>
        <w:spacing w:beforeLines="100" w:before="312" w:after="26" w:line="400" w:lineRule="exact"/>
        <w:ind w:firstLine="448"/>
        <w:rPr>
          <w:color w:val="000000"/>
          <w:spacing w:val="-8"/>
          <w:szCs w:val="21"/>
        </w:rPr>
      </w:pPr>
      <w:r>
        <w:rPr>
          <w:rFonts w:hint="eastAsia"/>
          <w:color w:val="000000"/>
          <w:spacing w:val="-8"/>
          <w:szCs w:val="21"/>
        </w:rPr>
        <w:t>智能验证系统不用消耗加速器验证机时，大大减少加速器的物理损耗，延长加速器的使用寿命；同时，分次验证也是开展离线自适应放疗和在线自适应放疗必备的验证工具。</w:t>
      </w:r>
    </w:p>
    <w:p w:rsidR="00E63B7F" w:rsidRDefault="00E63B7F">
      <w:pPr>
        <w:widowControl/>
        <w:jc w:val="left"/>
        <w:rPr>
          <w:color w:val="000000"/>
          <w:kern w:val="0"/>
          <w:sz w:val="21"/>
          <w:szCs w:val="21"/>
          <w:lang w:bidi="ar"/>
        </w:rPr>
      </w:pPr>
    </w:p>
    <w:p w:rsidR="00E63B7F" w:rsidRPr="00A15405" w:rsidRDefault="00A11006">
      <w:pPr>
        <w:widowControl/>
        <w:ind w:firstLine="448"/>
        <w:jc w:val="left"/>
        <w:rPr>
          <w:color w:val="000000"/>
          <w:spacing w:val="-8"/>
          <w:szCs w:val="21"/>
        </w:rPr>
      </w:pPr>
      <w:r w:rsidRPr="00A15405">
        <w:rPr>
          <w:rFonts w:hint="eastAsia"/>
          <w:color w:val="000000"/>
          <w:spacing w:val="-8"/>
          <w:szCs w:val="21"/>
        </w:rPr>
        <w:t xml:space="preserve">国家癌症中心、国家肿瘤性疾病医疗质量控制中心、放疗质量控制专家委员会三部门按照 </w:t>
      </w:r>
      <w:r w:rsidRPr="00A15405">
        <w:rPr>
          <w:color w:val="000000"/>
          <w:spacing w:val="-8"/>
          <w:szCs w:val="21"/>
        </w:rPr>
        <w:t xml:space="preserve">GB/T 1.1-2020 </w:t>
      </w:r>
      <w:r w:rsidRPr="00A15405">
        <w:rPr>
          <w:rFonts w:hint="eastAsia"/>
          <w:color w:val="000000"/>
          <w:spacing w:val="-8"/>
          <w:szCs w:val="21"/>
        </w:rPr>
        <w:t>给出的规则联合发布的“基于独立计算软件的调强放疗剂量验证实践指南（2025 版）”充分说明了使用的必要性。</w:t>
      </w:r>
    </w:p>
    <w:p w:rsidR="00E63B7F" w:rsidRPr="00A15405" w:rsidRDefault="00E63B7F">
      <w:pPr>
        <w:widowControl/>
        <w:ind w:firstLine="448"/>
        <w:jc w:val="left"/>
        <w:rPr>
          <w:color w:val="000000"/>
          <w:spacing w:val="-8"/>
          <w:szCs w:val="21"/>
        </w:rPr>
      </w:pPr>
    </w:p>
    <w:p w:rsidR="00E63B7F" w:rsidRDefault="00A11006" w:rsidP="00786F6C">
      <w:pPr>
        <w:widowControl/>
        <w:ind w:firstLine="448"/>
        <w:jc w:val="left"/>
      </w:pPr>
      <w:r w:rsidRPr="00A15405">
        <w:rPr>
          <w:rFonts w:hint="eastAsia"/>
          <w:color w:val="000000"/>
          <w:spacing w:val="-8"/>
          <w:szCs w:val="21"/>
        </w:rPr>
        <w:t>“基于蒙特卡罗独立在线三维验证”属于北京市甲类</w:t>
      </w:r>
      <w:proofErr w:type="gramStart"/>
      <w:r w:rsidRPr="00A15405">
        <w:rPr>
          <w:rFonts w:hint="eastAsia"/>
          <w:color w:val="000000"/>
          <w:spacing w:val="-8"/>
          <w:szCs w:val="21"/>
        </w:rPr>
        <w:t>医保收费</w:t>
      </w:r>
      <w:proofErr w:type="gramEnd"/>
      <w:r w:rsidRPr="00A15405">
        <w:rPr>
          <w:rFonts w:hint="eastAsia"/>
          <w:color w:val="000000"/>
          <w:spacing w:val="-8"/>
          <w:szCs w:val="21"/>
        </w:rPr>
        <w:t>项目，1222元/次，既保证了患者治疗的精度和准确度，也能创造合</w:t>
      </w:r>
      <w:proofErr w:type="gramStart"/>
      <w:r w:rsidRPr="00A15405">
        <w:rPr>
          <w:rFonts w:hint="eastAsia"/>
          <w:color w:val="000000"/>
          <w:spacing w:val="-8"/>
          <w:szCs w:val="21"/>
        </w:rPr>
        <w:t>规</w:t>
      </w:r>
      <w:proofErr w:type="gramEnd"/>
      <w:r w:rsidRPr="00A15405">
        <w:rPr>
          <w:rFonts w:hint="eastAsia"/>
          <w:color w:val="000000"/>
          <w:spacing w:val="-8"/>
          <w:szCs w:val="21"/>
        </w:rPr>
        <w:t>的收益。</w:t>
      </w:r>
    </w:p>
    <w:p w:rsidR="00E63B7F" w:rsidRDefault="00A11006">
      <w:pPr>
        <w:pStyle w:val="1"/>
        <w:numPr>
          <w:ilvl w:val="0"/>
          <w:numId w:val="0"/>
        </w:numPr>
        <w:rPr>
          <w:rFonts w:ascii="宋体" w:hAnsi="宋体"/>
          <w:sz w:val="24"/>
          <w:szCs w:val="24"/>
        </w:rPr>
      </w:pPr>
      <w:bookmarkStart w:id="1" w:name="_Toc11768"/>
      <w:r>
        <w:rPr>
          <w:rFonts w:ascii="宋体" w:hAnsi="宋体" w:hint="eastAsia"/>
          <w:sz w:val="24"/>
          <w:szCs w:val="24"/>
        </w:rPr>
        <w:t>（二）采购内容</w:t>
      </w:r>
      <w:bookmarkEnd w:id="1"/>
    </w:p>
    <w:p w:rsidR="00442D99" w:rsidRDefault="00A11006">
      <w:pPr>
        <w:ind w:firstLine="480"/>
      </w:pPr>
      <w:r>
        <w:rPr>
          <w:rFonts w:hint="eastAsia"/>
        </w:rPr>
        <w:t>本次项目拟采购如下内容：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4235"/>
        <w:gridCol w:w="1969"/>
        <w:gridCol w:w="1553"/>
      </w:tblGrid>
      <w:tr w:rsidR="00E63B7F">
        <w:trPr>
          <w:trHeight w:val="482"/>
          <w:jc w:val="center"/>
        </w:trPr>
        <w:tc>
          <w:tcPr>
            <w:tcW w:w="449" w:type="pct"/>
            <w:vAlign w:val="center"/>
          </w:tcPr>
          <w:p w:rsidR="00E63B7F" w:rsidRDefault="00A11006">
            <w:pPr>
              <w:spacing w:line="240" w:lineRule="auto"/>
              <w:ind w:firstLineChars="0" w:firstLine="0"/>
              <w:jc w:val="center"/>
              <w:rPr>
                <w:b/>
                <w:bCs/>
              </w:rPr>
            </w:pPr>
            <w:r>
              <w:rPr>
                <w:rFonts w:hint="eastAsia"/>
                <w:b/>
                <w:bCs/>
              </w:rPr>
              <w:t>序号</w:t>
            </w:r>
          </w:p>
        </w:tc>
        <w:tc>
          <w:tcPr>
            <w:tcW w:w="2485" w:type="pct"/>
            <w:vAlign w:val="center"/>
          </w:tcPr>
          <w:p w:rsidR="00E63B7F" w:rsidRDefault="00A11006">
            <w:pPr>
              <w:spacing w:line="240" w:lineRule="auto"/>
              <w:ind w:firstLineChars="0" w:firstLine="0"/>
              <w:jc w:val="center"/>
              <w:rPr>
                <w:b/>
                <w:bCs/>
              </w:rPr>
            </w:pPr>
            <w:r>
              <w:rPr>
                <w:rFonts w:hint="eastAsia"/>
                <w:b/>
                <w:bCs/>
              </w:rPr>
              <w:t>产品名称</w:t>
            </w:r>
          </w:p>
        </w:tc>
        <w:tc>
          <w:tcPr>
            <w:tcW w:w="1155" w:type="pct"/>
            <w:vAlign w:val="center"/>
          </w:tcPr>
          <w:p w:rsidR="00E63B7F" w:rsidRDefault="00A11006">
            <w:pPr>
              <w:spacing w:line="240" w:lineRule="auto"/>
              <w:ind w:firstLineChars="0" w:firstLine="0"/>
              <w:jc w:val="center"/>
              <w:rPr>
                <w:b/>
                <w:bCs/>
              </w:rPr>
            </w:pPr>
            <w:r>
              <w:rPr>
                <w:rFonts w:hint="eastAsia"/>
                <w:b/>
                <w:bCs/>
              </w:rPr>
              <w:t>数量</w:t>
            </w:r>
          </w:p>
        </w:tc>
        <w:tc>
          <w:tcPr>
            <w:tcW w:w="911" w:type="pct"/>
            <w:vAlign w:val="center"/>
          </w:tcPr>
          <w:p w:rsidR="00E63B7F" w:rsidRDefault="00A11006">
            <w:pPr>
              <w:spacing w:line="240" w:lineRule="auto"/>
              <w:ind w:firstLineChars="0" w:firstLine="0"/>
              <w:jc w:val="center"/>
              <w:rPr>
                <w:b/>
                <w:bCs/>
              </w:rPr>
            </w:pPr>
            <w:r>
              <w:rPr>
                <w:rFonts w:hint="eastAsia"/>
                <w:b/>
                <w:bCs/>
              </w:rPr>
              <w:t>单位</w:t>
            </w:r>
          </w:p>
        </w:tc>
      </w:tr>
      <w:tr w:rsidR="00E63B7F">
        <w:trPr>
          <w:trHeight w:val="90"/>
          <w:jc w:val="center"/>
        </w:trPr>
        <w:tc>
          <w:tcPr>
            <w:tcW w:w="449" w:type="pct"/>
            <w:vAlign w:val="center"/>
          </w:tcPr>
          <w:p w:rsidR="00E63B7F" w:rsidRDefault="00A11006">
            <w:pPr>
              <w:pStyle w:val="11"/>
              <w:widowControl/>
              <w:spacing w:line="240" w:lineRule="auto"/>
              <w:ind w:firstLineChars="0" w:firstLine="0"/>
              <w:jc w:val="center"/>
              <w:rPr>
                <w:rFonts w:ascii="宋体" w:hAnsi="宋体" w:cs="宋体"/>
                <w:sz w:val="24"/>
                <w:szCs w:val="24"/>
              </w:rPr>
            </w:pPr>
            <w:bookmarkStart w:id="2" w:name="_Hlk44342601"/>
            <w:r>
              <w:rPr>
                <w:rFonts w:ascii="宋体" w:hAnsi="宋体" w:cs="宋体" w:hint="eastAsia"/>
                <w:sz w:val="24"/>
                <w:szCs w:val="24"/>
              </w:rPr>
              <w:t>1.</w:t>
            </w:r>
          </w:p>
        </w:tc>
        <w:tc>
          <w:tcPr>
            <w:tcW w:w="2485" w:type="pct"/>
            <w:vAlign w:val="center"/>
          </w:tcPr>
          <w:p w:rsidR="00E63B7F" w:rsidRDefault="00A11006">
            <w:pPr>
              <w:pStyle w:val="a8"/>
              <w:widowControl/>
              <w:spacing w:line="240" w:lineRule="auto"/>
              <w:ind w:firstLineChars="0" w:firstLine="0"/>
              <w:jc w:val="center"/>
            </w:pPr>
            <w:r>
              <w:rPr>
                <w:rFonts w:hint="eastAsia"/>
              </w:rPr>
              <w:t>射线束扫描测量系统</w:t>
            </w:r>
          </w:p>
        </w:tc>
        <w:tc>
          <w:tcPr>
            <w:tcW w:w="1155" w:type="pct"/>
            <w:vAlign w:val="center"/>
          </w:tcPr>
          <w:p w:rsidR="00E63B7F" w:rsidRDefault="00A15405">
            <w:pPr>
              <w:pStyle w:val="a8"/>
              <w:widowControl/>
              <w:spacing w:line="240" w:lineRule="auto"/>
              <w:ind w:firstLineChars="0" w:firstLine="0"/>
              <w:jc w:val="center"/>
            </w:pPr>
            <w:r>
              <w:rPr>
                <w:rFonts w:hint="eastAsia"/>
              </w:rPr>
              <w:t>1</w:t>
            </w:r>
          </w:p>
        </w:tc>
        <w:tc>
          <w:tcPr>
            <w:tcW w:w="911" w:type="pct"/>
            <w:vAlign w:val="center"/>
          </w:tcPr>
          <w:p w:rsidR="00E63B7F" w:rsidRDefault="00A11006">
            <w:pPr>
              <w:pStyle w:val="a8"/>
              <w:widowControl/>
              <w:spacing w:line="240" w:lineRule="auto"/>
              <w:ind w:firstLineChars="0" w:firstLine="0"/>
              <w:jc w:val="center"/>
            </w:pPr>
            <w:r>
              <w:rPr>
                <w:rFonts w:hint="eastAsia"/>
              </w:rPr>
              <w:t>套</w:t>
            </w:r>
          </w:p>
        </w:tc>
      </w:tr>
    </w:tbl>
    <w:p w:rsidR="00E63B7F" w:rsidRDefault="00A11006">
      <w:pPr>
        <w:pStyle w:val="1"/>
        <w:numPr>
          <w:ilvl w:val="0"/>
          <w:numId w:val="0"/>
        </w:numPr>
        <w:rPr>
          <w:rFonts w:ascii="宋体" w:hAnsi="宋体"/>
          <w:sz w:val="24"/>
          <w:szCs w:val="24"/>
        </w:rPr>
      </w:pPr>
      <w:bookmarkStart w:id="3" w:name="_Toc19523"/>
      <w:bookmarkEnd w:id="2"/>
      <w:r>
        <w:rPr>
          <w:rFonts w:ascii="宋体" w:hAnsi="宋体" w:hint="eastAsia"/>
          <w:sz w:val="24"/>
          <w:szCs w:val="24"/>
        </w:rPr>
        <w:lastRenderedPageBreak/>
        <w:t>（三）产品及服务详细要求</w:t>
      </w:r>
      <w:bookmarkEnd w:id="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05"/>
      </w:tblGrid>
      <w:tr w:rsidR="00E63B7F" w:rsidTr="00786F6C">
        <w:trPr>
          <w:jc w:val="center"/>
        </w:trPr>
        <w:tc>
          <w:tcPr>
            <w:tcW w:w="817" w:type="dxa"/>
            <w:shd w:val="clear" w:color="auto" w:fill="auto"/>
            <w:vAlign w:val="center"/>
          </w:tcPr>
          <w:p w:rsidR="00E63B7F" w:rsidRDefault="00A11006">
            <w:pPr>
              <w:widowControl/>
              <w:spacing w:line="240" w:lineRule="auto"/>
              <w:ind w:firstLineChars="0" w:firstLine="0"/>
              <w:jc w:val="center"/>
              <w:rPr>
                <w:rFonts w:ascii="仿宋" w:eastAsia="仿宋" w:hAnsi="仿宋" w:cs="仿宋"/>
                <w:b/>
                <w:kern w:val="0"/>
                <w:szCs w:val="21"/>
              </w:rPr>
            </w:pPr>
            <w:r>
              <w:rPr>
                <w:rFonts w:ascii="仿宋" w:eastAsia="仿宋" w:hAnsi="仿宋" w:cs="仿宋" w:hint="eastAsia"/>
                <w:b/>
                <w:bCs/>
                <w:kern w:val="0"/>
                <w:szCs w:val="21"/>
              </w:rPr>
              <w:t>序号</w:t>
            </w:r>
          </w:p>
        </w:tc>
        <w:tc>
          <w:tcPr>
            <w:tcW w:w="7705" w:type="dxa"/>
            <w:shd w:val="clear" w:color="auto" w:fill="auto"/>
            <w:vAlign w:val="center"/>
          </w:tcPr>
          <w:p w:rsidR="00E63B7F" w:rsidRDefault="00A11006">
            <w:pPr>
              <w:widowControl/>
              <w:spacing w:line="240" w:lineRule="auto"/>
              <w:ind w:firstLineChars="0" w:firstLine="0"/>
              <w:jc w:val="center"/>
              <w:rPr>
                <w:rFonts w:ascii="仿宋" w:eastAsia="仿宋" w:hAnsi="仿宋" w:cs="仿宋"/>
                <w:b/>
                <w:bCs/>
                <w:kern w:val="0"/>
                <w:szCs w:val="21"/>
              </w:rPr>
            </w:pPr>
            <w:r>
              <w:rPr>
                <w:rFonts w:ascii="仿宋" w:eastAsia="仿宋" w:hAnsi="仿宋" w:cs="仿宋" w:hint="eastAsia"/>
                <w:b/>
                <w:bCs/>
                <w:kern w:val="0"/>
                <w:szCs w:val="21"/>
              </w:rPr>
              <w:t>射线束扫描测量系统功能参数</w:t>
            </w:r>
          </w:p>
        </w:tc>
      </w:tr>
      <w:tr w:rsidR="00E63B7F" w:rsidTr="00786F6C">
        <w:trPr>
          <w:jc w:val="center"/>
        </w:trPr>
        <w:tc>
          <w:tcPr>
            <w:tcW w:w="817" w:type="dxa"/>
            <w:shd w:val="clear" w:color="auto" w:fill="auto"/>
            <w:vAlign w:val="center"/>
          </w:tcPr>
          <w:p w:rsidR="00E63B7F" w:rsidRDefault="00A11006">
            <w:pPr>
              <w:widowControl/>
              <w:spacing w:line="240" w:lineRule="auto"/>
              <w:ind w:firstLineChars="0" w:firstLine="0"/>
              <w:jc w:val="left"/>
              <w:rPr>
                <w:rFonts w:ascii="仿宋" w:eastAsia="仿宋" w:hAnsi="仿宋" w:cs="仿宋"/>
                <w:b/>
                <w:bCs/>
                <w:kern w:val="0"/>
                <w:szCs w:val="21"/>
              </w:rPr>
            </w:pPr>
            <w:proofErr w:type="gramStart"/>
            <w:r>
              <w:rPr>
                <w:rFonts w:ascii="仿宋" w:eastAsia="仿宋" w:hAnsi="仿宋" w:cs="仿宋" w:hint="eastAsia"/>
                <w:b/>
                <w:bCs/>
                <w:kern w:val="0"/>
                <w:szCs w:val="21"/>
              </w:rPr>
              <w:t>一</w:t>
            </w:r>
            <w:proofErr w:type="gramEnd"/>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proofErr w:type="spellStart"/>
            <w:r>
              <w:rPr>
                <w:rFonts w:ascii="仿宋" w:eastAsia="仿宋" w:hAnsi="仿宋" w:cs="仿宋" w:hint="eastAsia"/>
                <w:b/>
                <w:bCs/>
                <w:kern w:val="0"/>
                <w:szCs w:val="21"/>
              </w:rPr>
              <w:t>PatientQA</w:t>
            </w:r>
            <w:proofErr w:type="spellEnd"/>
            <w:r>
              <w:rPr>
                <w:rFonts w:ascii="仿宋" w:eastAsia="仿宋" w:hAnsi="仿宋" w:cs="仿宋" w:hint="eastAsia"/>
                <w:b/>
                <w:bCs/>
                <w:kern w:val="0"/>
                <w:szCs w:val="21"/>
              </w:rPr>
              <w:t>模块简要功能、用途说明：主要用于调强放疗计划的独立剂量验证及临床学术研究</w:t>
            </w:r>
          </w:p>
        </w:tc>
      </w:tr>
      <w:tr w:rsidR="00E63B7F" w:rsidTr="00786F6C">
        <w:trPr>
          <w:jc w:val="center"/>
        </w:trPr>
        <w:tc>
          <w:tcPr>
            <w:tcW w:w="817" w:type="dxa"/>
            <w:shd w:val="clear" w:color="auto" w:fill="auto"/>
            <w:vAlign w:val="center"/>
          </w:tcPr>
          <w:p w:rsidR="00E63B7F" w:rsidRDefault="00E63B7F">
            <w:pPr>
              <w:widowControl/>
              <w:spacing w:line="240" w:lineRule="auto"/>
              <w:ind w:firstLineChars="0" w:firstLine="0"/>
              <w:jc w:val="left"/>
              <w:rPr>
                <w:rFonts w:ascii="仿宋" w:eastAsia="仿宋" w:hAnsi="仿宋" w:cs="仿宋"/>
                <w:b/>
                <w:bCs/>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b/>
                <w:bCs/>
                <w:kern w:val="0"/>
                <w:szCs w:val="21"/>
              </w:rPr>
            </w:pPr>
            <w:r>
              <w:rPr>
                <w:rFonts w:ascii="仿宋" w:eastAsia="仿宋" w:hAnsi="仿宋" w:cs="仿宋" w:hint="eastAsia"/>
                <w:b/>
                <w:bCs/>
                <w:kern w:val="0"/>
                <w:szCs w:val="21"/>
              </w:rPr>
              <w:t>主要规格及系统技术参数概述</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spacing w:val="16"/>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spacing w:val="16"/>
                <w:szCs w:val="21"/>
              </w:rPr>
            </w:pPr>
            <w:r>
              <w:rPr>
                <w:rFonts w:ascii="仿宋" w:eastAsia="仿宋" w:hAnsi="仿宋" w:cs="仿宋" w:hint="eastAsia"/>
                <w:b/>
                <w:bCs/>
                <w:spacing w:val="16"/>
                <w:szCs w:val="21"/>
              </w:rPr>
              <w:t>主机系统性能概括</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b/>
                <w:color w:val="000000"/>
                <w:szCs w:val="21"/>
              </w:rPr>
              <w:t>★</w:t>
            </w:r>
            <w:r>
              <w:rPr>
                <w:rFonts w:ascii="仿宋" w:eastAsia="仿宋" w:hAnsi="仿宋" w:cs="仿宋" w:hint="eastAsia"/>
                <w:color w:val="000000"/>
                <w:kern w:val="0"/>
                <w:szCs w:val="21"/>
              </w:rPr>
              <w:t>蒙特卡罗剂量计算，采用基于蒙特卡罗＋GPU加速三维剂量计算引擎，（提供本企业专利证书。）</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b/>
                <w:bCs/>
                <w:color w:val="000000"/>
                <w:kern w:val="0"/>
                <w:szCs w:val="21"/>
              </w:rPr>
              <w:t>·</w:t>
            </w:r>
            <w:r>
              <w:rPr>
                <w:rFonts w:ascii="仿宋" w:eastAsia="仿宋" w:hAnsi="仿宋" w:cs="仿宋" w:hint="eastAsia"/>
                <w:color w:val="000000"/>
                <w:kern w:val="0"/>
                <w:szCs w:val="21"/>
              </w:rPr>
              <w:t>采用CPU＋GPU加速。（提供本企业专利证书和文章。）</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color w:val="000000"/>
                <w:kern w:val="0"/>
                <w:szCs w:val="21"/>
              </w:rPr>
              <w:t>治疗计划二次剂量验证功能，主要用于治疗</w:t>
            </w:r>
            <w:proofErr w:type="gramStart"/>
            <w:r>
              <w:rPr>
                <w:rFonts w:ascii="仿宋" w:eastAsia="仿宋" w:hAnsi="仿宋" w:cs="仿宋" w:hint="eastAsia"/>
                <w:color w:val="000000"/>
                <w:kern w:val="0"/>
                <w:szCs w:val="21"/>
              </w:rPr>
              <w:t>前治疗</w:t>
            </w:r>
            <w:proofErr w:type="gramEnd"/>
            <w:r>
              <w:rPr>
                <w:rFonts w:ascii="仿宋" w:eastAsia="仿宋" w:hAnsi="仿宋" w:cs="仿宋" w:hint="eastAsia"/>
                <w:color w:val="000000"/>
                <w:kern w:val="0"/>
                <w:szCs w:val="21"/>
              </w:rPr>
              <w:t>计划的二次验证</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color w:val="000000"/>
                <w:kern w:val="0"/>
                <w:szCs w:val="21"/>
              </w:rPr>
              <w:t>分次剂量验证功能，主要用于治疗中病人治疗剂量的全疗程验证</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color w:val="000000"/>
                <w:kern w:val="0"/>
                <w:szCs w:val="21"/>
              </w:rPr>
              <w:t>基于CBCT影像的剂量评估功能，基于CBCT影像进行的剂量计算和分析。（本企业SCI文章证明。）</w:t>
            </w:r>
          </w:p>
        </w:tc>
      </w:tr>
      <w:tr w:rsidR="00E63B7F" w:rsidTr="00786F6C">
        <w:trPr>
          <w:jc w:val="center"/>
        </w:trPr>
        <w:tc>
          <w:tcPr>
            <w:tcW w:w="817" w:type="dxa"/>
            <w:shd w:val="clear" w:color="auto" w:fill="auto"/>
            <w:vAlign w:val="center"/>
          </w:tcPr>
          <w:p w:rsidR="00E63B7F" w:rsidRDefault="00E63B7F">
            <w:pPr>
              <w:widowControl/>
              <w:numPr>
                <w:ilvl w:val="1"/>
                <w:numId w:val="5"/>
              </w:numPr>
              <w:spacing w:line="240" w:lineRule="auto"/>
              <w:ind w:left="0" w:firstLineChars="0" w:firstLine="0"/>
              <w:jc w:val="left"/>
              <w:rPr>
                <w:rFonts w:ascii="仿宋" w:eastAsia="仿宋" w:hAnsi="仿宋" w:cs="仿宋"/>
                <w:color w:val="000000"/>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color w:val="000000"/>
                <w:kern w:val="0"/>
                <w:szCs w:val="21"/>
              </w:rPr>
            </w:pPr>
            <w:r>
              <w:rPr>
                <w:rFonts w:ascii="仿宋" w:eastAsia="仿宋" w:hAnsi="仿宋" w:cs="仿宋" w:hint="eastAsia"/>
                <w:color w:val="000000"/>
                <w:kern w:val="0"/>
                <w:szCs w:val="21"/>
              </w:rPr>
              <w:t>基于MR影像的剂量评估功能，主要用于磁共振引导放疗计划的独立验算。（本企业SCI文章证明。）</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spacing w:val="16"/>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spacing w:val="16"/>
                <w:szCs w:val="21"/>
              </w:rPr>
            </w:pPr>
            <w:r>
              <w:rPr>
                <w:rFonts w:ascii="仿宋" w:eastAsia="仿宋" w:hAnsi="仿宋" w:cs="仿宋" w:hint="eastAsia"/>
                <w:b/>
                <w:bCs/>
                <w:spacing w:val="16"/>
                <w:szCs w:val="21"/>
              </w:rPr>
              <w:t>数据管理</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病人管理功能，具有完整的病人管理模块，有病人列表显示、刷新、搜索、删除、条件查询等功能</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精确和模糊查询功能</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将患者验证数据进行分类，并将结果导出</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批准与取消批准</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病人验证结果快速浏览</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同一患者多治疗计划合并</w:t>
            </w:r>
          </w:p>
        </w:tc>
      </w:tr>
      <w:tr w:rsidR="00E63B7F" w:rsidTr="00786F6C">
        <w:trPr>
          <w:jc w:val="center"/>
        </w:trPr>
        <w:tc>
          <w:tcPr>
            <w:tcW w:w="817" w:type="dxa"/>
            <w:shd w:val="clear" w:color="auto" w:fill="auto"/>
            <w:vAlign w:val="center"/>
          </w:tcPr>
          <w:p w:rsidR="00E63B7F" w:rsidRDefault="00E63B7F">
            <w:pPr>
              <w:widowControl/>
              <w:numPr>
                <w:ilvl w:val="1"/>
                <w:numId w:val="6"/>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删除计划或者病人</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b/>
                <w:bCs/>
                <w:kern w:val="0"/>
                <w:szCs w:val="21"/>
              </w:rPr>
            </w:pPr>
            <w:r>
              <w:rPr>
                <w:rFonts w:ascii="仿宋" w:eastAsia="仿宋" w:hAnsi="仿宋" w:cs="仿宋" w:hint="eastAsia"/>
                <w:b/>
                <w:bCs/>
                <w:kern w:val="0"/>
                <w:szCs w:val="21"/>
              </w:rPr>
              <w:t>自动化流程</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自动读取DICOM并加载到系统，可将TPS导出的DICOM CT/RT文件自动导入系统</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自动读取加速器日志功能，可自动读取指定目录的机器日志文件</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自动计算分析，支持自动计算出剂量验证结果</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自动化任务工作列表，支持自动更新工作列表，提供自动化任务工作列表管理功能，支持对计算任务优先级进行调整</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自动化生成PDF报告，支持自动生成的PDF报告，并存放到指定位置</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自动输出验证系统蒙卡剂量计算结果，支持自动将蒙特卡罗剂量计算结果附带治疗计划以DICOM格式输出到指定位置，并支持自动将原始剂量与验证剂量导出到指定位置保存</w:t>
            </w:r>
          </w:p>
        </w:tc>
      </w:tr>
      <w:tr w:rsidR="00E63B7F" w:rsidTr="00786F6C">
        <w:trPr>
          <w:jc w:val="center"/>
        </w:trPr>
        <w:tc>
          <w:tcPr>
            <w:tcW w:w="817" w:type="dxa"/>
            <w:shd w:val="clear" w:color="auto" w:fill="auto"/>
            <w:vAlign w:val="center"/>
          </w:tcPr>
          <w:p w:rsidR="00E63B7F" w:rsidRDefault="00E63B7F">
            <w:pPr>
              <w:widowControl/>
              <w:numPr>
                <w:ilvl w:val="1"/>
                <w:numId w:val="7"/>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自动将计划和剂量加载到对应的QA</w:t>
            </w:r>
            <w:proofErr w:type="gramStart"/>
            <w:r>
              <w:rPr>
                <w:rFonts w:ascii="仿宋" w:eastAsia="仿宋" w:hAnsi="仿宋" w:cs="仿宋" w:hint="eastAsia"/>
                <w:kern w:val="0"/>
                <w:szCs w:val="21"/>
              </w:rPr>
              <w:t>模体上</w:t>
            </w:r>
            <w:proofErr w:type="gramEnd"/>
            <w:r>
              <w:rPr>
                <w:rFonts w:ascii="仿宋" w:eastAsia="仿宋" w:hAnsi="仿宋" w:cs="仿宋" w:hint="eastAsia"/>
                <w:kern w:val="0"/>
                <w:szCs w:val="21"/>
              </w:rPr>
              <w:t>进行验证，支持计划文件自动判断是否为基于</w:t>
            </w:r>
            <w:proofErr w:type="gramStart"/>
            <w:r>
              <w:rPr>
                <w:rFonts w:ascii="仿宋" w:eastAsia="仿宋" w:hAnsi="仿宋" w:cs="仿宋" w:hint="eastAsia"/>
                <w:kern w:val="0"/>
                <w:szCs w:val="21"/>
              </w:rPr>
              <w:t>验证模体的</w:t>
            </w:r>
            <w:proofErr w:type="gramEnd"/>
            <w:r>
              <w:rPr>
                <w:rFonts w:ascii="仿宋" w:eastAsia="仿宋" w:hAnsi="仿宋" w:cs="仿宋" w:hint="eastAsia"/>
                <w:kern w:val="0"/>
                <w:szCs w:val="21"/>
              </w:rPr>
              <w:t>QA计划，支持自动将计划和剂量加载到正确的QA</w:t>
            </w:r>
            <w:proofErr w:type="gramStart"/>
            <w:r>
              <w:rPr>
                <w:rFonts w:ascii="仿宋" w:eastAsia="仿宋" w:hAnsi="仿宋" w:cs="仿宋" w:hint="eastAsia"/>
                <w:kern w:val="0"/>
                <w:szCs w:val="21"/>
              </w:rPr>
              <w:t>模体上</w:t>
            </w:r>
            <w:proofErr w:type="gramEnd"/>
            <w:r>
              <w:rPr>
                <w:rFonts w:ascii="仿宋" w:eastAsia="仿宋" w:hAnsi="仿宋" w:cs="仿宋" w:hint="eastAsia"/>
                <w:kern w:val="0"/>
                <w:szCs w:val="21"/>
              </w:rPr>
              <w:t>，并完成验证</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szCs w:val="21"/>
              </w:rPr>
            </w:pPr>
          </w:p>
        </w:tc>
        <w:tc>
          <w:tcPr>
            <w:tcW w:w="7705" w:type="dxa"/>
            <w:shd w:val="clear" w:color="auto" w:fill="auto"/>
            <w:vAlign w:val="center"/>
          </w:tcPr>
          <w:p w:rsidR="00E63B7F" w:rsidRDefault="00A11006">
            <w:pPr>
              <w:widowControl/>
              <w:spacing w:line="240" w:lineRule="auto"/>
              <w:ind w:firstLineChars="0" w:firstLine="0"/>
              <w:jc w:val="left"/>
              <w:rPr>
                <w:rFonts w:ascii="仿宋" w:eastAsia="仿宋" w:hAnsi="仿宋" w:cs="仿宋"/>
                <w:b/>
                <w:bCs/>
                <w:kern w:val="0"/>
                <w:szCs w:val="21"/>
              </w:rPr>
            </w:pPr>
            <w:r>
              <w:rPr>
                <w:rFonts w:ascii="仿宋" w:eastAsia="仿宋" w:hAnsi="仿宋" w:cs="仿宋" w:hint="eastAsia"/>
                <w:b/>
                <w:bCs/>
                <w:kern w:val="0"/>
                <w:szCs w:val="21"/>
              </w:rPr>
              <w:t>·治疗计划二次独立剂量验证，采用蒙特卡罗算法加GPU加速。</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DVH对比分析功能</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临床目标模板及自动分析</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靶区覆盖率对比分析</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快速局部/全面三维剂量伽马分析</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感兴趣区域的剂量统计分析功能</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调整剂量网格大小</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自定义</w:t>
            </w:r>
            <w:proofErr w:type="spellStart"/>
            <w:r>
              <w:rPr>
                <w:rFonts w:ascii="仿宋" w:eastAsia="仿宋" w:hAnsi="仿宋" w:cs="仿宋" w:hint="eastAsia"/>
                <w:kern w:val="0"/>
                <w:szCs w:val="21"/>
              </w:rPr>
              <w:t>colorbar</w:t>
            </w:r>
            <w:proofErr w:type="spellEnd"/>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多剖面结果显示，支持横断面、</w:t>
            </w:r>
            <w:proofErr w:type="gramStart"/>
            <w:r>
              <w:rPr>
                <w:rFonts w:ascii="仿宋" w:eastAsia="仿宋" w:hAnsi="仿宋" w:cs="仿宋" w:hint="eastAsia"/>
                <w:kern w:val="0"/>
                <w:szCs w:val="21"/>
              </w:rPr>
              <w:t>矢</w:t>
            </w:r>
            <w:proofErr w:type="gramEnd"/>
            <w:r>
              <w:rPr>
                <w:rFonts w:ascii="仿宋" w:eastAsia="仿宋" w:hAnsi="仿宋" w:cs="仿宋" w:hint="eastAsia"/>
                <w:kern w:val="0"/>
                <w:szCs w:val="21"/>
              </w:rPr>
              <w:t>状面和冠状面剂量和伽玛结果展示</w:t>
            </w:r>
          </w:p>
        </w:tc>
      </w:tr>
      <w:tr w:rsidR="00E63B7F" w:rsidTr="00786F6C">
        <w:trPr>
          <w:jc w:val="center"/>
        </w:trPr>
        <w:tc>
          <w:tcPr>
            <w:tcW w:w="817" w:type="dxa"/>
            <w:shd w:val="clear" w:color="auto" w:fill="auto"/>
            <w:vAlign w:val="center"/>
          </w:tcPr>
          <w:p w:rsidR="00E63B7F" w:rsidRDefault="00E63B7F">
            <w:pPr>
              <w:widowControl/>
              <w:numPr>
                <w:ilvl w:val="1"/>
                <w:numId w:val="8"/>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color w:val="C0504D"/>
                <w:kern w:val="0"/>
                <w:szCs w:val="21"/>
              </w:rPr>
            </w:pPr>
            <w:r>
              <w:rPr>
                <w:rFonts w:ascii="仿宋" w:eastAsia="仿宋" w:hAnsi="仿宋" w:cs="仿宋" w:hint="eastAsia"/>
                <w:kern w:val="0"/>
                <w:szCs w:val="21"/>
              </w:rPr>
              <w:t>支持机器个性化分析评价参数</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szCs w:val="21"/>
              </w:rPr>
            </w:pPr>
            <w:r>
              <w:rPr>
                <w:rFonts w:ascii="仿宋" w:eastAsia="仿宋" w:hAnsi="仿宋" w:cs="仿宋" w:hint="eastAsia"/>
                <w:b/>
                <w:bCs/>
                <w:kern w:val="0"/>
                <w:szCs w:val="21"/>
              </w:rPr>
              <w:t>分次剂量验证</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分次治疗评价结果图表展示</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加速器角度、钨门、MLC叶片偏差统计分析功能，可根据机器日志对当前计划实际执行的正确性进行验证，包括射束机架角、治疗时小机头角、</w:t>
            </w:r>
            <w:proofErr w:type="gramStart"/>
            <w:r>
              <w:rPr>
                <w:rFonts w:ascii="仿宋" w:eastAsia="仿宋" w:hAnsi="仿宋" w:cs="仿宋" w:hint="eastAsia"/>
                <w:kern w:val="0"/>
                <w:szCs w:val="21"/>
              </w:rPr>
              <w:t>钨门位置</w:t>
            </w:r>
            <w:proofErr w:type="gramEnd"/>
            <w:r>
              <w:rPr>
                <w:rFonts w:ascii="仿宋" w:eastAsia="仿宋" w:hAnsi="仿宋" w:cs="仿宋" w:hint="eastAsia"/>
                <w:kern w:val="0"/>
                <w:szCs w:val="21"/>
              </w:rPr>
              <w:t>、MLC叶片位置</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查看射束控制点运行精度</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自由伽马分析功能，支持用户对同一计划下的所有剂量分布进行两两自由配对伽玛分析，可直观分析不同分次间剂量分布差异</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日志文件，包括：</w:t>
            </w:r>
          </w:p>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支持医科达</w:t>
            </w:r>
            <w:proofErr w:type="spellStart"/>
            <w:r>
              <w:rPr>
                <w:rFonts w:ascii="仿宋" w:eastAsia="仿宋" w:hAnsi="仿宋" w:cs="仿宋" w:hint="eastAsia"/>
                <w:kern w:val="0"/>
                <w:szCs w:val="21"/>
              </w:rPr>
              <w:t>Icom</w:t>
            </w:r>
            <w:proofErr w:type="spellEnd"/>
            <w:r>
              <w:rPr>
                <w:rFonts w:ascii="仿宋" w:eastAsia="仿宋" w:hAnsi="仿宋" w:cs="仿宋" w:hint="eastAsia"/>
                <w:kern w:val="0"/>
                <w:szCs w:val="21"/>
              </w:rPr>
              <w:t>实时日志文件</w:t>
            </w:r>
          </w:p>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支持医科达</w:t>
            </w:r>
            <w:proofErr w:type="spellStart"/>
            <w:r>
              <w:rPr>
                <w:rFonts w:ascii="仿宋" w:eastAsia="仿宋" w:hAnsi="仿宋" w:cs="仿宋" w:hint="eastAsia"/>
                <w:kern w:val="0"/>
                <w:szCs w:val="21"/>
              </w:rPr>
              <w:t>Trf</w:t>
            </w:r>
            <w:proofErr w:type="spellEnd"/>
            <w:r>
              <w:rPr>
                <w:rFonts w:ascii="仿宋" w:eastAsia="仿宋" w:hAnsi="仿宋" w:cs="仿宋" w:hint="eastAsia"/>
                <w:kern w:val="0"/>
                <w:szCs w:val="21"/>
              </w:rPr>
              <w:t>高分辨率日志文件</w:t>
            </w:r>
          </w:p>
        </w:tc>
      </w:tr>
      <w:tr w:rsidR="00E63B7F" w:rsidTr="00786F6C">
        <w:trPr>
          <w:jc w:val="center"/>
        </w:trPr>
        <w:tc>
          <w:tcPr>
            <w:tcW w:w="817" w:type="dxa"/>
            <w:shd w:val="clear" w:color="auto" w:fill="auto"/>
            <w:vAlign w:val="center"/>
          </w:tcPr>
          <w:p w:rsidR="00E63B7F" w:rsidRDefault="00E63B7F">
            <w:pPr>
              <w:widowControl/>
              <w:numPr>
                <w:ilvl w:val="1"/>
                <w:numId w:val="9"/>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瓦里安日志文件，支持瓦里安加速器格式日志文件</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szCs w:val="21"/>
              </w:rPr>
            </w:pPr>
            <w:r>
              <w:rPr>
                <w:rFonts w:ascii="仿宋" w:eastAsia="仿宋" w:hAnsi="仿宋" w:cs="仿宋" w:hint="eastAsia"/>
                <w:b/>
                <w:bCs/>
                <w:kern w:val="0"/>
                <w:szCs w:val="21"/>
              </w:rPr>
              <w:t>系统辅助配置</w:t>
            </w:r>
          </w:p>
        </w:tc>
      </w:tr>
      <w:tr w:rsidR="00E63B7F" w:rsidTr="00786F6C">
        <w:trPr>
          <w:jc w:val="center"/>
        </w:trPr>
        <w:tc>
          <w:tcPr>
            <w:tcW w:w="817" w:type="dxa"/>
            <w:shd w:val="clear" w:color="auto" w:fill="auto"/>
            <w:vAlign w:val="center"/>
          </w:tcPr>
          <w:p w:rsidR="00E63B7F" w:rsidRDefault="00E63B7F">
            <w:pPr>
              <w:widowControl/>
              <w:numPr>
                <w:ilvl w:val="1"/>
                <w:numId w:val="10"/>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自定义器官名称管理</w:t>
            </w:r>
          </w:p>
        </w:tc>
      </w:tr>
      <w:tr w:rsidR="00E63B7F" w:rsidTr="00786F6C">
        <w:trPr>
          <w:jc w:val="center"/>
        </w:trPr>
        <w:tc>
          <w:tcPr>
            <w:tcW w:w="817" w:type="dxa"/>
            <w:shd w:val="clear" w:color="auto" w:fill="auto"/>
            <w:vAlign w:val="center"/>
          </w:tcPr>
          <w:p w:rsidR="00E63B7F" w:rsidRDefault="00E63B7F">
            <w:pPr>
              <w:widowControl/>
              <w:numPr>
                <w:ilvl w:val="1"/>
                <w:numId w:val="10"/>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器官临床目标评价模板管理</w:t>
            </w:r>
          </w:p>
        </w:tc>
      </w:tr>
      <w:tr w:rsidR="00E63B7F" w:rsidTr="00786F6C">
        <w:trPr>
          <w:jc w:val="center"/>
        </w:trPr>
        <w:tc>
          <w:tcPr>
            <w:tcW w:w="817" w:type="dxa"/>
            <w:shd w:val="clear" w:color="auto" w:fill="auto"/>
            <w:vAlign w:val="center"/>
          </w:tcPr>
          <w:p w:rsidR="00E63B7F" w:rsidRDefault="00E63B7F">
            <w:pPr>
              <w:widowControl/>
              <w:numPr>
                <w:ilvl w:val="1"/>
                <w:numId w:val="10"/>
              </w:numPr>
              <w:spacing w:line="240" w:lineRule="auto"/>
              <w:ind w:left="0" w:firstLineChars="0" w:firstLine="0"/>
              <w:jc w:val="left"/>
              <w:rPr>
                <w:rFonts w:ascii="仿宋" w:eastAsia="仿宋" w:hAnsi="仿宋" w:cs="仿宋"/>
                <w:kern w:val="0"/>
                <w:szCs w:val="21"/>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szCs w:val="21"/>
              </w:rPr>
            </w:pPr>
            <w:r>
              <w:rPr>
                <w:rFonts w:ascii="仿宋" w:eastAsia="仿宋" w:hAnsi="仿宋" w:cs="仿宋" w:hint="eastAsia"/>
                <w:kern w:val="0"/>
                <w:szCs w:val="21"/>
              </w:rPr>
              <w:t>器官模糊匹配</w:t>
            </w:r>
          </w:p>
        </w:tc>
      </w:tr>
      <w:tr w:rsidR="00E63B7F" w:rsidTr="00786F6C">
        <w:trPr>
          <w:jc w:val="center"/>
        </w:trPr>
        <w:tc>
          <w:tcPr>
            <w:tcW w:w="817" w:type="dxa"/>
            <w:shd w:val="clear" w:color="auto" w:fill="auto"/>
            <w:vAlign w:val="center"/>
          </w:tcPr>
          <w:p w:rsidR="00E63B7F" w:rsidRDefault="00E63B7F">
            <w:pPr>
              <w:widowControl/>
              <w:numPr>
                <w:ilvl w:val="1"/>
                <w:numId w:val="10"/>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b/>
                <w:bCs/>
                <w:kern w:val="0"/>
              </w:rPr>
              <w:t>·</w:t>
            </w:r>
            <w:r>
              <w:rPr>
                <w:rFonts w:ascii="仿宋" w:eastAsia="仿宋" w:hAnsi="仿宋" w:cs="仿宋" w:hint="eastAsia"/>
                <w:kern w:val="0"/>
              </w:rPr>
              <w:t>中英文界面显示</w:t>
            </w:r>
          </w:p>
        </w:tc>
      </w:tr>
      <w:tr w:rsidR="00E63B7F" w:rsidTr="00786F6C">
        <w:trPr>
          <w:jc w:val="center"/>
        </w:trPr>
        <w:tc>
          <w:tcPr>
            <w:tcW w:w="817" w:type="dxa"/>
            <w:shd w:val="clear" w:color="auto" w:fill="auto"/>
            <w:vAlign w:val="center"/>
          </w:tcPr>
          <w:p w:rsidR="00E63B7F" w:rsidRDefault="00E63B7F">
            <w:pPr>
              <w:widowControl/>
              <w:numPr>
                <w:ilvl w:val="1"/>
                <w:numId w:val="10"/>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kern w:val="0"/>
              </w:rPr>
              <w:t>自定义报告模板</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b/>
                <w:bCs/>
                <w:kern w:val="0"/>
              </w:rPr>
              <w:t>蒙卡算法支持的加速器类型</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kern w:val="0"/>
              </w:rPr>
              <w:t>蒙卡算法</w:t>
            </w:r>
            <w:proofErr w:type="gramStart"/>
            <w:r>
              <w:rPr>
                <w:rFonts w:ascii="仿宋" w:eastAsia="仿宋" w:hAnsi="仿宋" w:cs="仿宋" w:hint="eastAsia"/>
                <w:kern w:val="0"/>
              </w:rPr>
              <w:t>需支持</w:t>
            </w:r>
            <w:proofErr w:type="gramEnd"/>
            <w:r>
              <w:rPr>
                <w:rFonts w:ascii="仿宋" w:eastAsia="仿宋" w:hAnsi="仿宋" w:cs="仿宋" w:hint="eastAsia"/>
                <w:kern w:val="0"/>
              </w:rPr>
              <w:t>医科达、瓦里安等所有“C型”加速器机型</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b/>
                <w:bCs/>
                <w:kern w:val="0"/>
              </w:rPr>
              <w:t>·</w:t>
            </w:r>
            <w:r>
              <w:rPr>
                <w:rFonts w:ascii="仿宋" w:eastAsia="仿宋" w:hAnsi="仿宋" w:cs="仿宋" w:hint="eastAsia"/>
                <w:kern w:val="0"/>
              </w:rPr>
              <w:t>支持Halcyon双层MLC加速器</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proofErr w:type="spellStart"/>
            <w:r>
              <w:rPr>
                <w:rFonts w:ascii="仿宋" w:eastAsia="仿宋" w:hAnsi="仿宋" w:cs="仿宋" w:hint="eastAsia"/>
                <w:kern w:val="0"/>
              </w:rPr>
              <w:t>Tomotherapy</w:t>
            </w:r>
            <w:proofErr w:type="spellEnd"/>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proofErr w:type="spellStart"/>
            <w:r>
              <w:rPr>
                <w:rFonts w:ascii="仿宋" w:eastAsia="仿宋" w:hAnsi="仿宋" w:cs="仿宋" w:hint="eastAsia"/>
                <w:kern w:val="0"/>
              </w:rPr>
              <w:t>Cyberknife</w:t>
            </w:r>
            <w:proofErr w:type="spellEnd"/>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kern w:val="0"/>
              </w:rPr>
              <w:t>后装</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kern w:val="0"/>
              </w:rPr>
              <w:t>质子</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kern w:val="0"/>
              </w:rPr>
              <w:t>重离子</w:t>
            </w:r>
          </w:p>
        </w:tc>
      </w:tr>
      <w:tr w:rsidR="00E63B7F" w:rsidTr="00786F6C">
        <w:trPr>
          <w:jc w:val="center"/>
        </w:trPr>
        <w:tc>
          <w:tcPr>
            <w:tcW w:w="817" w:type="dxa"/>
            <w:shd w:val="clear" w:color="auto" w:fill="auto"/>
            <w:vAlign w:val="center"/>
          </w:tcPr>
          <w:p w:rsidR="00E63B7F" w:rsidRDefault="00E63B7F">
            <w:pPr>
              <w:widowControl/>
              <w:numPr>
                <w:ilvl w:val="1"/>
                <w:numId w:val="11"/>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kern w:val="0"/>
              </w:rPr>
              <w:t>核磁引导加速器Unity、</w:t>
            </w:r>
            <w:proofErr w:type="spellStart"/>
            <w:r>
              <w:rPr>
                <w:rFonts w:ascii="仿宋" w:eastAsia="仿宋" w:hAnsi="仿宋" w:cs="仿宋" w:hint="eastAsia"/>
                <w:kern w:val="0"/>
              </w:rPr>
              <w:t>Viewray</w:t>
            </w:r>
            <w:proofErr w:type="spellEnd"/>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计划系统支持</w:t>
            </w:r>
          </w:p>
        </w:tc>
      </w:tr>
      <w:tr w:rsidR="00E63B7F" w:rsidTr="00786F6C">
        <w:trPr>
          <w:jc w:val="center"/>
        </w:trPr>
        <w:tc>
          <w:tcPr>
            <w:tcW w:w="817" w:type="dxa"/>
            <w:shd w:val="clear" w:color="auto" w:fill="auto"/>
            <w:vAlign w:val="center"/>
          </w:tcPr>
          <w:p w:rsidR="00E63B7F" w:rsidRDefault="00E63B7F">
            <w:pPr>
              <w:widowControl/>
              <w:numPr>
                <w:ilvl w:val="1"/>
                <w:numId w:val="12"/>
              </w:numPr>
              <w:spacing w:line="240" w:lineRule="auto"/>
              <w:ind w:left="0" w:firstLineChars="0" w:firstLine="0"/>
              <w:jc w:val="left"/>
              <w:rPr>
                <w:rFonts w:ascii="仿宋" w:eastAsia="仿宋" w:hAnsi="仿宋" w:cs="仿宋"/>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kern w:val="0"/>
              </w:rPr>
            </w:pPr>
            <w:r>
              <w:rPr>
                <w:rFonts w:ascii="仿宋" w:eastAsia="仿宋" w:hAnsi="仿宋" w:cs="仿宋" w:hint="eastAsia"/>
                <w:kern w:val="0"/>
              </w:rPr>
              <w:t>DICOM输出的治疗计划系统，支持本院已有治疗计划系统。</w:t>
            </w:r>
          </w:p>
        </w:tc>
      </w:tr>
      <w:tr w:rsidR="00E63B7F" w:rsidTr="00786F6C">
        <w:trPr>
          <w:jc w:val="center"/>
        </w:trPr>
        <w:tc>
          <w:tcPr>
            <w:tcW w:w="817" w:type="dxa"/>
            <w:shd w:val="clear" w:color="auto" w:fill="auto"/>
            <w:vAlign w:val="center"/>
          </w:tcPr>
          <w:p w:rsidR="00E63B7F" w:rsidRDefault="00E63B7F">
            <w:pPr>
              <w:numPr>
                <w:ilvl w:val="0"/>
                <w:numId w:val="4"/>
              </w:numPr>
              <w:spacing w:line="240" w:lineRule="auto"/>
              <w:ind w:left="0" w:firstLineChars="0" w:firstLine="0"/>
              <w:jc w:val="left"/>
              <w:rPr>
                <w:rFonts w:ascii="仿宋" w:eastAsia="仿宋" w:hAnsi="仿宋" w:cs="仿宋"/>
                <w:b/>
                <w:bCs/>
                <w:kern w:val="0"/>
              </w:rPr>
            </w:pPr>
          </w:p>
        </w:tc>
        <w:tc>
          <w:tcPr>
            <w:tcW w:w="7705" w:type="dxa"/>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治疗技术支持</w:t>
            </w:r>
          </w:p>
        </w:tc>
      </w:tr>
      <w:tr w:rsidR="00E63B7F" w:rsidTr="00786F6C">
        <w:trPr>
          <w:trHeight w:val="446"/>
          <w:jc w:val="center"/>
        </w:trPr>
        <w:tc>
          <w:tcPr>
            <w:tcW w:w="817" w:type="dxa"/>
            <w:tcBorders>
              <w:bottom w:val="single" w:sz="2" w:space="0" w:color="auto"/>
            </w:tcBorders>
            <w:shd w:val="clear" w:color="auto" w:fill="auto"/>
            <w:vAlign w:val="center"/>
          </w:tcPr>
          <w:p w:rsidR="00E63B7F" w:rsidRDefault="00E63B7F">
            <w:pPr>
              <w:widowControl/>
              <w:numPr>
                <w:ilvl w:val="1"/>
                <w:numId w:val="13"/>
              </w:numPr>
              <w:spacing w:line="240" w:lineRule="auto"/>
              <w:ind w:left="0" w:firstLineChars="0" w:firstLine="0"/>
              <w:jc w:val="left"/>
              <w:rPr>
                <w:rFonts w:ascii="仿宋" w:eastAsia="仿宋" w:hAnsi="仿宋" w:cs="仿宋"/>
                <w:b/>
                <w:bCs/>
                <w:kern w:val="0"/>
              </w:rPr>
            </w:pPr>
          </w:p>
        </w:tc>
        <w:tc>
          <w:tcPr>
            <w:tcW w:w="7705" w:type="dxa"/>
            <w:tcBorders>
              <w:bottom w:val="single" w:sz="2" w:space="0" w:color="auto"/>
            </w:tcBorders>
            <w:shd w:val="clear" w:color="auto" w:fill="auto"/>
            <w:vAlign w:val="center"/>
          </w:tcPr>
          <w:p w:rsidR="00E63B7F" w:rsidRDefault="00A11006">
            <w:pPr>
              <w:spacing w:line="240" w:lineRule="auto"/>
              <w:ind w:firstLineChars="0" w:firstLine="0"/>
              <w:jc w:val="left"/>
              <w:rPr>
                <w:rFonts w:ascii="仿宋" w:eastAsia="仿宋" w:hAnsi="仿宋" w:cs="仿宋"/>
                <w:b/>
                <w:bCs/>
                <w:kern w:val="0"/>
              </w:rPr>
            </w:pPr>
            <w:r>
              <w:rPr>
                <w:rFonts w:ascii="仿宋" w:eastAsia="仿宋" w:hAnsi="仿宋" w:cs="仿宋" w:hint="eastAsia"/>
                <w:b/>
                <w:bCs/>
                <w:kern w:val="0"/>
              </w:rPr>
              <w:t>·</w:t>
            </w:r>
            <w:r>
              <w:rPr>
                <w:rFonts w:ascii="仿宋" w:eastAsia="仿宋" w:hAnsi="仿宋" w:cs="仿宋" w:hint="eastAsia"/>
                <w:kern w:val="0"/>
              </w:rPr>
              <w:t>治疗技术涵盖3DCRT、IMRT、VMAT、SBRT、SRS</w:t>
            </w:r>
          </w:p>
        </w:tc>
      </w:tr>
    </w:tbl>
    <w:tbl>
      <w:tblPr>
        <w:tblStyle w:val="aa"/>
        <w:tblW w:w="8519" w:type="dxa"/>
        <w:jc w:val="center"/>
        <w:tblLook w:val="04A0" w:firstRow="1" w:lastRow="0" w:firstColumn="1" w:lastColumn="0" w:noHBand="0" w:noVBand="1"/>
      </w:tblPr>
      <w:tblGrid>
        <w:gridCol w:w="816"/>
        <w:gridCol w:w="1889"/>
        <w:gridCol w:w="5814"/>
      </w:tblGrid>
      <w:tr w:rsidR="00E63B7F" w:rsidTr="00786F6C">
        <w:trPr>
          <w:jc w:val="center"/>
        </w:trPr>
        <w:tc>
          <w:tcPr>
            <w:tcW w:w="816" w:type="dxa"/>
            <w:tcBorders>
              <w:top w:val="single" w:sz="2" w:space="0" w:color="auto"/>
              <w:left w:val="single" w:sz="2" w:space="0" w:color="auto"/>
              <w:bottom w:val="single" w:sz="2" w:space="0" w:color="auto"/>
              <w:right w:val="single" w:sz="2" w:space="0" w:color="auto"/>
            </w:tcBorders>
            <w:vAlign w:val="center"/>
          </w:tcPr>
          <w:p w:rsidR="00E63B7F" w:rsidRPr="00442D99" w:rsidRDefault="00A11006" w:rsidP="00786F6C">
            <w:pPr>
              <w:spacing w:line="240" w:lineRule="auto"/>
              <w:ind w:firstLineChars="0" w:firstLine="0"/>
              <w:rPr>
                <w:rFonts w:ascii="仿宋" w:eastAsia="仿宋" w:hAnsi="仿宋" w:cs="仿宋"/>
                <w:b/>
                <w:kern w:val="0"/>
              </w:rPr>
            </w:pPr>
            <w:r w:rsidRPr="00442D99">
              <w:rPr>
                <w:rFonts w:ascii="仿宋" w:eastAsia="仿宋" w:hAnsi="仿宋" w:cs="仿宋" w:hint="eastAsia"/>
                <w:b/>
                <w:bCs/>
                <w:kern w:val="0"/>
              </w:rPr>
              <w:t>二</w:t>
            </w:r>
          </w:p>
        </w:tc>
        <w:tc>
          <w:tcPr>
            <w:tcW w:w="1889" w:type="dxa"/>
            <w:tcBorders>
              <w:top w:val="single" w:sz="2" w:space="0" w:color="auto"/>
              <w:left w:val="single" w:sz="2" w:space="0" w:color="auto"/>
              <w:bottom w:val="single" w:sz="2" w:space="0" w:color="auto"/>
              <w:right w:val="single" w:sz="2" w:space="0" w:color="auto"/>
            </w:tcBorders>
            <w:vAlign w:val="center"/>
          </w:tcPr>
          <w:p w:rsidR="00E63B7F" w:rsidRPr="00442D99" w:rsidRDefault="00A11006">
            <w:pPr>
              <w:spacing w:line="240" w:lineRule="auto"/>
              <w:ind w:firstLineChars="0" w:firstLine="0"/>
              <w:jc w:val="center"/>
              <w:rPr>
                <w:rFonts w:ascii="仿宋" w:eastAsia="仿宋" w:hAnsi="仿宋" w:cs="仿宋"/>
                <w:b/>
                <w:bCs/>
                <w:kern w:val="0"/>
              </w:rPr>
            </w:pPr>
            <w:proofErr w:type="spellStart"/>
            <w:r w:rsidRPr="00442D99">
              <w:rPr>
                <w:rFonts w:ascii="仿宋" w:eastAsia="仿宋" w:hAnsi="仿宋" w:cs="仿宋" w:hint="eastAsia"/>
                <w:b/>
                <w:bCs/>
                <w:kern w:val="0"/>
              </w:rPr>
              <w:t>MachineQA</w:t>
            </w:r>
            <w:proofErr w:type="spellEnd"/>
            <w:r w:rsidRPr="00442D99">
              <w:rPr>
                <w:rFonts w:ascii="仿宋" w:eastAsia="仿宋" w:hAnsi="仿宋" w:cs="仿宋" w:hint="eastAsia"/>
                <w:b/>
                <w:bCs/>
                <w:kern w:val="0"/>
              </w:rPr>
              <w:t>模块功能</w:t>
            </w:r>
          </w:p>
        </w:tc>
        <w:tc>
          <w:tcPr>
            <w:tcW w:w="5814" w:type="dxa"/>
            <w:tcBorders>
              <w:top w:val="single" w:sz="2" w:space="0" w:color="auto"/>
              <w:left w:val="single" w:sz="2" w:space="0" w:color="auto"/>
              <w:bottom w:val="single" w:sz="2" w:space="0" w:color="auto"/>
              <w:right w:val="single" w:sz="2" w:space="0" w:color="auto"/>
            </w:tcBorders>
            <w:vAlign w:val="center"/>
          </w:tcPr>
          <w:p w:rsidR="00E63B7F" w:rsidRPr="00442D99" w:rsidRDefault="00A11006">
            <w:pPr>
              <w:spacing w:line="240" w:lineRule="auto"/>
              <w:ind w:firstLineChars="0" w:firstLine="0"/>
              <w:jc w:val="center"/>
              <w:rPr>
                <w:rFonts w:ascii="仿宋" w:eastAsia="仿宋" w:hAnsi="仿宋" w:cs="仿宋"/>
                <w:b/>
                <w:bCs/>
                <w:kern w:val="0"/>
              </w:rPr>
            </w:pPr>
            <w:r w:rsidRPr="00442D99">
              <w:rPr>
                <w:rFonts w:ascii="仿宋" w:eastAsia="仿宋" w:hAnsi="仿宋" w:cs="仿宋" w:hint="eastAsia"/>
                <w:b/>
                <w:bCs/>
                <w:kern w:val="0"/>
              </w:rPr>
              <w:t>具备直线加速器、大孔径定位CT、后装治疗机的全周期质</w:t>
            </w:r>
            <w:proofErr w:type="gramStart"/>
            <w:r w:rsidRPr="00442D99">
              <w:rPr>
                <w:rFonts w:ascii="仿宋" w:eastAsia="仿宋" w:hAnsi="仿宋" w:cs="仿宋" w:hint="eastAsia"/>
                <w:b/>
                <w:bCs/>
                <w:kern w:val="0"/>
              </w:rPr>
              <w:t>控分析</w:t>
            </w:r>
            <w:proofErr w:type="gramEnd"/>
          </w:p>
        </w:tc>
      </w:tr>
      <w:tr w:rsidR="00E63B7F" w:rsidTr="00786F6C">
        <w:trPr>
          <w:jc w:val="center"/>
        </w:trPr>
        <w:tc>
          <w:tcPr>
            <w:tcW w:w="816" w:type="dxa"/>
            <w:tcBorders>
              <w:top w:val="single" w:sz="2" w:space="0" w:color="auto"/>
            </w:tcBorders>
            <w:vAlign w:val="center"/>
          </w:tcPr>
          <w:p w:rsidR="00E63B7F" w:rsidRDefault="00A11006" w:rsidP="00786F6C">
            <w:pPr>
              <w:spacing w:line="240" w:lineRule="auto"/>
              <w:ind w:firstLineChars="0" w:firstLine="0"/>
              <w:rPr>
                <w:rFonts w:ascii="仿宋" w:eastAsia="仿宋" w:hAnsi="仿宋" w:cs="仿宋"/>
                <w:b/>
                <w:bCs/>
                <w:kern w:val="0"/>
              </w:rPr>
            </w:pPr>
            <w:r>
              <w:rPr>
                <w:rFonts w:ascii="仿宋" w:eastAsia="仿宋" w:hAnsi="仿宋" w:cs="仿宋" w:hint="eastAsia"/>
                <w:b/>
                <w:bCs/>
                <w:kern w:val="0"/>
              </w:rPr>
              <w:t>1</w:t>
            </w:r>
          </w:p>
        </w:tc>
        <w:tc>
          <w:tcPr>
            <w:tcW w:w="1889" w:type="dxa"/>
            <w:tcBorders>
              <w:top w:val="single" w:sz="2" w:space="0" w:color="auto"/>
            </w:tcBorders>
          </w:tcPr>
          <w:p w:rsidR="00E63B7F" w:rsidRDefault="00A11006" w:rsidP="00786F6C">
            <w:pPr>
              <w:spacing w:line="240" w:lineRule="auto"/>
              <w:ind w:firstLineChars="0" w:firstLine="0"/>
              <w:rPr>
                <w:rFonts w:ascii="仿宋" w:eastAsia="仿宋" w:hAnsi="仿宋" w:cs="仿宋"/>
                <w:b/>
                <w:bCs/>
                <w:kern w:val="0"/>
              </w:rPr>
            </w:pPr>
            <w:r>
              <w:rPr>
                <w:rFonts w:ascii="仿宋" w:eastAsia="仿宋" w:hAnsi="仿宋" w:cs="仿宋" w:hint="eastAsia"/>
                <w:b/>
                <w:bCs/>
                <w:kern w:val="0"/>
              </w:rPr>
              <w:t>直线加速器全周期质控平台</w:t>
            </w:r>
          </w:p>
        </w:tc>
        <w:tc>
          <w:tcPr>
            <w:tcW w:w="5814" w:type="dxa"/>
            <w:tcBorders>
              <w:top w:val="single" w:sz="2" w:space="0" w:color="auto"/>
            </w:tcBorders>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按照TG 142或GB19046标准规范日常质控工作，集成管理日常</w:t>
            </w:r>
            <w:r>
              <w:rPr>
                <w:rFonts w:ascii="仿宋" w:eastAsia="仿宋" w:hAnsi="仿宋" w:cs="仿宋" w:hint="eastAsia"/>
                <w:bCs/>
                <w:kern w:val="0"/>
              </w:rPr>
              <w:t>机器</w:t>
            </w:r>
            <w:r>
              <w:rPr>
                <w:rFonts w:ascii="仿宋" w:eastAsia="仿宋" w:hAnsi="仿宋" w:cs="仿宋" w:hint="eastAsia"/>
                <w:bCs/>
                <w:kern w:val="0"/>
                <w:lang w:eastAsia="zh-TW"/>
              </w:rPr>
              <w:t>质控数据</w:t>
            </w:r>
            <w:r>
              <w:rPr>
                <w:rFonts w:ascii="仿宋" w:eastAsia="仿宋" w:hAnsi="仿宋" w:cs="仿宋" w:hint="eastAsia"/>
                <w:bCs/>
                <w:kern w:val="0"/>
              </w:rPr>
              <w:t>，包括</w:t>
            </w:r>
            <w:r>
              <w:rPr>
                <w:rFonts w:ascii="仿宋" w:eastAsia="仿宋" w:hAnsi="仿宋" w:cs="仿宋" w:hint="eastAsia"/>
                <w:bCs/>
                <w:kern w:val="0"/>
                <w:lang w:eastAsia="zh-TW"/>
              </w:rPr>
              <w:t>剂量学分析</w:t>
            </w:r>
            <w:r>
              <w:rPr>
                <w:rFonts w:ascii="仿宋" w:eastAsia="仿宋" w:hAnsi="仿宋" w:cs="仿宋" w:hint="eastAsia"/>
                <w:bCs/>
                <w:kern w:val="0"/>
              </w:rPr>
              <w:t>、</w:t>
            </w:r>
            <w:r>
              <w:rPr>
                <w:rFonts w:ascii="仿宋" w:eastAsia="仿宋" w:hAnsi="仿宋" w:cs="仿宋" w:hint="eastAsia"/>
                <w:bCs/>
                <w:kern w:val="0"/>
                <w:lang w:eastAsia="zh-TW"/>
              </w:rPr>
              <w:t>EPID和CBCT提供图像质量及位置误差的分析</w:t>
            </w:r>
            <w:r>
              <w:rPr>
                <w:rFonts w:ascii="仿宋" w:eastAsia="仿宋" w:hAnsi="仿宋" w:cs="仿宋" w:hint="eastAsia"/>
                <w:bCs/>
                <w:kern w:val="0"/>
              </w:rPr>
              <w:t>、</w:t>
            </w:r>
            <w:r>
              <w:rPr>
                <w:rFonts w:ascii="仿宋" w:eastAsia="仿宋" w:hAnsi="仿宋" w:cs="仿宋" w:hint="eastAsia"/>
                <w:bCs/>
                <w:kern w:val="0"/>
                <w:lang w:eastAsia="zh-TW"/>
              </w:rPr>
              <w:t>射野机械中心符合性、光矩尺指示、定位激光偏差等机械特性分析</w:t>
            </w:r>
            <w:r>
              <w:rPr>
                <w:rFonts w:ascii="仿宋" w:eastAsia="仿宋" w:hAnsi="仿宋" w:cs="仿宋" w:hint="eastAsia"/>
                <w:bCs/>
                <w:kern w:val="0"/>
              </w:rPr>
              <w:t>等；</w:t>
            </w:r>
          </w:p>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对</w:t>
            </w:r>
            <w:r>
              <w:rPr>
                <w:rFonts w:ascii="仿宋" w:eastAsia="仿宋" w:hAnsi="仿宋" w:cs="仿宋" w:hint="eastAsia"/>
                <w:bCs/>
                <w:kern w:val="0"/>
              </w:rPr>
              <w:t>机器</w:t>
            </w:r>
            <w:r>
              <w:rPr>
                <w:rFonts w:ascii="仿宋" w:eastAsia="仿宋" w:hAnsi="仿宋" w:cs="仿宋" w:hint="eastAsia"/>
                <w:bCs/>
                <w:kern w:val="0"/>
                <w:lang w:eastAsia="zh-TW"/>
              </w:rPr>
              <w:t>质控工作流程进行分类管理，提供检查周期和</w:t>
            </w:r>
            <w:r>
              <w:rPr>
                <w:rFonts w:ascii="仿宋" w:eastAsia="仿宋" w:hAnsi="仿宋" w:cs="仿宋" w:hint="eastAsia"/>
                <w:bCs/>
                <w:kern w:val="0"/>
                <w:lang w:eastAsia="zh-TW"/>
              </w:rPr>
              <w:lastRenderedPageBreak/>
              <w:t>检查项目，对检查数据进行统一管理，按时间和类别对质控数据进行统计和分析，反馈治疗设备当前的工作质量和状态，为维修和保养提供详实的依据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lastRenderedPageBreak/>
              <w:t>1.1</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质控管理</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TG142和VMAT</w:t>
            </w:r>
            <w:r w:rsidR="006E6C06">
              <w:rPr>
                <w:rFonts w:ascii="仿宋" w:eastAsia="仿宋" w:hAnsi="仿宋" w:cs="仿宋" w:hint="eastAsia"/>
                <w:bCs/>
                <w:kern w:val="0"/>
                <w:lang w:eastAsia="zh-TW"/>
              </w:rPr>
              <w:t>日检</w:t>
            </w:r>
            <w:r w:rsidR="006E6C06">
              <w:rPr>
                <w:rFonts w:ascii="仿宋" w:eastAsia="仿宋" w:hAnsi="仿宋" w:cs="仿宋" w:hint="eastAsia"/>
                <w:bCs/>
                <w:kern w:val="0"/>
              </w:rPr>
              <w:t>、</w:t>
            </w:r>
            <w:r>
              <w:rPr>
                <w:rFonts w:ascii="仿宋" w:eastAsia="仿宋" w:hAnsi="仿宋" w:cs="仿宋" w:hint="eastAsia"/>
                <w:bCs/>
                <w:kern w:val="0"/>
                <w:lang w:eastAsia="zh-TW"/>
              </w:rPr>
              <w:t>月检和年检完整的和可定制的模板，用于机械的</w:t>
            </w:r>
            <w:r w:rsidR="006E6C06">
              <w:rPr>
                <w:rFonts w:ascii="仿宋" w:eastAsia="仿宋" w:hAnsi="仿宋" w:cs="仿宋" w:hint="eastAsia"/>
                <w:bCs/>
                <w:kern w:val="0"/>
              </w:rPr>
              <w:t>、</w:t>
            </w:r>
            <w:r>
              <w:rPr>
                <w:rFonts w:ascii="仿宋" w:eastAsia="仿宋" w:hAnsi="仿宋" w:cs="仿宋" w:hint="eastAsia"/>
                <w:bCs/>
                <w:kern w:val="0"/>
                <w:lang w:eastAsia="zh-TW"/>
              </w:rPr>
              <w:t>安全的</w:t>
            </w:r>
            <w:r w:rsidR="006E6C06">
              <w:rPr>
                <w:rFonts w:ascii="仿宋" w:eastAsia="仿宋" w:hAnsi="仿宋" w:cs="仿宋" w:hint="eastAsia"/>
                <w:bCs/>
                <w:kern w:val="0"/>
              </w:rPr>
              <w:t>、</w:t>
            </w:r>
            <w:r>
              <w:rPr>
                <w:rFonts w:ascii="仿宋" w:eastAsia="仿宋" w:hAnsi="仿宋" w:cs="仿宋" w:hint="eastAsia"/>
                <w:bCs/>
                <w:kern w:val="0"/>
                <w:lang w:eastAsia="zh-TW"/>
              </w:rPr>
              <w:t>剂量等方面的检查.</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1.2</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服务器模式</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能从局域网任何电脑访问QA数据</w:t>
            </w:r>
          </w:p>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兼容现有肿瘤信息管理系统（OIS）读取DICOM数据。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1.3</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加速器设置</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输入加速器基本信息，例如加速器型号、MLC、楔形板、限光筒等具体信息</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1.4</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影像质量&amp;准确性</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包含CBCT,KV,MV</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1.5</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多</w:t>
            </w:r>
            <w:r w:rsidR="006E6C06">
              <w:rPr>
                <w:rFonts w:ascii="仿宋" w:eastAsia="仿宋" w:hAnsi="仿宋" w:cs="仿宋" w:hint="eastAsia"/>
                <w:bCs/>
                <w:kern w:val="0"/>
              </w:rPr>
              <w:t>叶</w:t>
            </w:r>
            <w:r>
              <w:rPr>
                <w:rFonts w:ascii="仿宋" w:eastAsia="仿宋" w:hAnsi="仿宋" w:cs="仿宋" w:hint="eastAsia"/>
                <w:bCs/>
                <w:kern w:val="0"/>
                <w:lang w:eastAsia="zh-TW"/>
              </w:rPr>
              <w:t>光栅</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包含Picket Fence,日志中文件的位置，叶片速度</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1.6</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Winston-Lutz等中心</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包含射线，机器</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1.7</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Star Shot</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包含机架，床，准直器</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1.8</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射束</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包含射野大小，平坦度，对称性</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1.9</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VMAT</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包含剂量率VS机架速度，叶片速度，弧点剂量</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1.10</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扩展功能</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产品能兼容和扩展晨检仪，机器验证等测量数据，</w:t>
            </w:r>
            <w:r>
              <w:rPr>
                <w:rFonts w:ascii="仿宋" w:eastAsia="仿宋" w:hAnsi="仿宋" w:cs="仿宋" w:hint="eastAsia"/>
                <w:bCs/>
                <w:kern w:val="0"/>
              </w:rPr>
              <w:t>实现</w:t>
            </w:r>
            <w:r>
              <w:rPr>
                <w:rFonts w:ascii="仿宋" w:eastAsia="仿宋" w:hAnsi="仿宋" w:cs="仿宋" w:hint="eastAsia"/>
                <w:bCs/>
                <w:kern w:val="0"/>
                <w:lang w:eastAsia="zh-TW"/>
              </w:rPr>
              <w:t>日检，月检，年检的加速器机器验证的平台集成管理。</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1.11</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QA项目设置</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以TG142报告为模板，通过此软件可自主选择加速器QA项目及检测频率，包括剂量学、机械学、多叶光栏及影像等项目。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1.12</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项目基准值设置</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通过此软件可设置某些检测项目的基准值，用于项目的比对标准。</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1.13</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分析参数设置</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通过此软件可设置加速器质量保证分析方法的标准，例如胶片分析参数，平坦度对称性分析标准等。</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1.14</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剂量学分析</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w:t>
            </w:r>
            <w:r>
              <w:rPr>
                <w:rFonts w:ascii="仿宋" w:eastAsia="仿宋" w:hAnsi="仿宋" w:cs="仿宋" w:hint="eastAsia"/>
                <w:bCs/>
                <w:kern w:val="0"/>
              </w:rPr>
              <w:t>专用检测平板自动或</w:t>
            </w:r>
            <w:r>
              <w:rPr>
                <w:rFonts w:ascii="仿宋" w:eastAsia="仿宋" w:hAnsi="仿宋" w:cs="仿宋" w:hint="eastAsia"/>
                <w:bCs/>
                <w:kern w:val="0"/>
                <w:lang w:eastAsia="zh-TW"/>
              </w:rPr>
              <w:t>胶片</w:t>
            </w:r>
            <w:r>
              <w:rPr>
                <w:rFonts w:ascii="仿宋" w:eastAsia="仿宋" w:hAnsi="仿宋" w:cs="仿宋" w:hint="eastAsia"/>
                <w:bCs/>
                <w:kern w:val="0"/>
              </w:rPr>
              <w:t>、</w:t>
            </w:r>
            <w:r>
              <w:rPr>
                <w:rFonts w:ascii="仿宋" w:eastAsia="仿宋" w:hAnsi="仿宋" w:cs="仿宋" w:hint="eastAsia"/>
                <w:bCs/>
                <w:kern w:val="0"/>
                <w:lang w:eastAsia="zh-TW"/>
              </w:rPr>
              <w:t>EPID</w:t>
            </w:r>
            <w:r>
              <w:rPr>
                <w:rFonts w:ascii="仿宋" w:eastAsia="仿宋" w:hAnsi="仿宋" w:cs="仿宋" w:hint="eastAsia"/>
                <w:bCs/>
                <w:kern w:val="0"/>
              </w:rPr>
              <w:t>手填方式</w:t>
            </w:r>
            <w:r>
              <w:rPr>
                <w:rFonts w:ascii="仿宋" w:eastAsia="仿宋" w:hAnsi="仿宋" w:cs="仿宋" w:hint="eastAsia"/>
                <w:bCs/>
                <w:kern w:val="0"/>
                <w:lang w:eastAsia="zh-TW"/>
              </w:rPr>
              <w:t>分析统计profile一致性、光野射野一致性、输出量稳定性、射线质等剂量学质控项目。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1.15</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机械特性分析</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w:t>
            </w:r>
            <w:r>
              <w:rPr>
                <w:rFonts w:ascii="仿宋" w:eastAsia="仿宋" w:hAnsi="仿宋" w:cs="仿宋" w:hint="eastAsia"/>
                <w:bCs/>
                <w:kern w:val="0"/>
              </w:rPr>
              <w:t>专用检测平板自动或</w:t>
            </w:r>
            <w:r>
              <w:rPr>
                <w:rFonts w:ascii="仿宋" w:eastAsia="仿宋" w:hAnsi="仿宋" w:cs="仿宋" w:hint="eastAsia"/>
                <w:bCs/>
                <w:kern w:val="0"/>
                <w:lang w:eastAsia="zh-TW"/>
              </w:rPr>
              <w:t>胶片</w:t>
            </w:r>
            <w:r>
              <w:rPr>
                <w:rFonts w:ascii="仿宋" w:eastAsia="仿宋" w:hAnsi="仿宋" w:cs="仿宋" w:hint="eastAsia"/>
                <w:bCs/>
                <w:kern w:val="0"/>
              </w:rPr>
              <w:t>、</w:t>
            </w:r>
            <w:r>
              <w:rPr>
                <w:rFonts w:ascii="仿宋" w:eastAsia="仿宋" w:hAnsi="仿宋" w:cs="仿宋" w:hint="eastAsia"/>
                <w:bCs/>
                <w:kern w:val="0"/>
                <w:lang w:eastAsia="zh-TW"/>
              </w:rPr>
              <w:t>EPID</w:t>
            </w:r>
            <w:r>
              <w:rPr>
                <w:rFonts w:ascii="仿宋" w:eastAsia="仿宋" w:hAnsi="仿宋" w:cs="仿宋" w:hint="eastAsia"/>
                <w:bCs/>
                <w:kern w:val="0"/>
              </w:rPr>
              <w:t>手填方式</w:t>
            </w:r>
            <w:r>
              <w:rPr>
                <w:rFonts w:ascii="仿宋" w:eastAsia="仿宋" w:hAnsi="仿宋" w:cs="仿宋" w:hint="eastAsia"/>
                <w:bCs/>
                <w:kern w:val="0"/>
                <w:lang w:eastAsia="zh-TW"/>
              </w:rPr>
              <w:t>分析统计激光定位、臂架角度显示、床面高度、旋转等中心等机械特性项目。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1.16</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多叶光栏分析</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w:t>
            </w:r>
            <w:r>
              <w:rPr>
                <w:rFonts w:ascii="仿宋" w:eastAsia="仿宋" w:hAnsi="仿宋" w:cs="仿宋" w:hint="eastAsia"/>
                <w:bCs/>
                <w:kern w:val="0"/>
              </w:rPr>
              <w:t>专用检测平板自动或</w:t>
            </w:r>
            <w:r>
              <w:rPr>
                <w:rFonts w:ascii="仿宋" w:eastAsia="仿宋" w:hAnsi="仿宋" w:cs="仿宋" w:hint="eastAsia"/>
                <w:bCs/>
                <w:kern w:val="0"/>
                <w:lang w:eastAsia="zh-TW"/>
              </w:rPr>
              <w:t>胶片</w:t>
            </w:r>
            <w:r>
              <w:rPr>
                <w:rFonts w:ascii="仿宋" w:eastAsia="仿宋" w:hAnsi="仿宋" w:cs="仿宋" w:hint="eastAsia"/>
                <w:bCs/>
                <w:kern w:val="0"/>
              </w:rPr>
              <w:t>、</w:t>
            </w:r>
            <w:r>
              <w:rPr>
                <w:rFonts w:ascii="仿宋" w:eastAsia="仿宋" w:hAnsi="仿宋" w:cs="仿宋" w:hint="eastAsia"/>
                <w:bCs/>
                <w:kern w:val="0"/>
                <w:lang w:eastAsia="zh-TW"/>
              </w:rPr>
              <w:t>EPID</w:t>
            </w:r>
            <w:r>
              <w:rPr>
                <w:rFonts w:ascii="仿宋" w:eastAsia="仿宋" w:hAnsi="仿宋" w:cs="仿宋" w:hint="eastAsia"/>
                <w:bCs/>
                <w:kern w:val="0"/>
              </w:rPr>
              <w:t>手填方式</w:t>
            </w:r>
            <w:r>
              <w:rPr>
                <w:rFonts w:ascii="仿宋" w:eastAsia="仿宋" w:hAnsi="仿宋" w:cs="仿宋" w:hint="eastAsia"/>
                <w:bCs/>
                <w:kern w:val="0"/>
                <w:lang w:eastAsia="zh-TW"/>
              </w:rPr>
              <w:t>分析统计叶片位置精度、运动速度、叶片位置重复性等多叶光栏质控项目。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1.17</w:t>
            </w:r>
          </w:p>
        </w:tc>
        <w:tc>
          <w:tcPr>
            <w:tcW w:w="1889"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影像学分析</w:t>
            </w:r>
          </w:p>
        </w:tc>
        <w:tc>
          <w:tcPr>
            <w:tcW w:w="5814" w:type="dxa"/>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lang w:eastAsia="zh-TW"/>
              </w:rPr>
              <w:t>通过EPID或CBCT图像或填表的方式分析统计EPID、CBCT的图像质量，包括几何形变、分辨率、对比度等项目。</w:t>
            </w:r>
          </w:p>
        </w:tc>
      </w:tr>
      <w:tr w:rsidR="00E63B7F" w:rsidTr="00786F6C">
        <w:trPr>
          <w:jc w:val="center"/>
        </w:trPr>
        <w:tc>
          <w:tcPr>
            <w:tcW w:w="816" w:type="dxa"/>
            <w:vAlign w:val="center"/>
          </w:tcPr>
          <w:p w:rsidR="00E63B7F" w:rsidRPr="00442D99" w:rsidRDefault="00A11006" w:rsidP="00786F6C">
            <w:pPr>
              <w:spacing w:line="240" w:lineRule="auto"/>
              <w:ind w:firstLineChars="0" w:firstLine="0"/>
              <w:rPr>
                <w:rFonts w:ascii="仿宋" w:eastAsia="仿宋" w:hAnsi="仿宋" w:cs="仿宋"/>
                <w:b/>
                <w:bCs/>
                <w:kern w:val="0"/>
              </w:rPr>
            </w:pPr>
            <w:r w:rsidRPr="00442D99">
              <w:rPr>
                <w:rFonts w:ascii="仿宋" w:eastAsia="仿宋" w:hAnsi="仿宋" w:cs="仿宋" w:hint="eastAsia"/>
                <w:b/>
                <w:bCs/>
                <w:kern w:val="0"/>
              </w:rPr>
              <w:t>三</w:t>
            </w:r>
          </w:p>
        </w:tc>
        <w:tc>
          <w:tcPr>
            <w:tcW w:w="7703" w:type="dxa"/>
            <w:gridSpan w:val="2"/>
          </w:tcPr>
          <w:p w:rsidR="00E63B7F" w:rsidRPr="00442D99" w:rsidRDefault="00A11006" w:rsidP="00786F6C">
            <w:pPr>
              <w:spacing w:line="240" w:lineRule="auto"/>
              <w:ind w:firstLineChars="0" w:firstLine="0"/>
              <w:rPr>
                <w:rFonts w:ascii="仿宋" w:eastAsia="仿宋" w:hAnsi="仿宋" w:cs="仿宋"/>
                <w:b/>
                <w:bCs/>
                <w:kern w:val="0"/>
                <w:lang w:eastAsia="zh-TW"/>
              </w:rPr>
            </w:pPr>
            <w:r w:rsidRPr="00442D99">
              <w:rPr>
                <w:rFonts w:ascii="仿宋" w:eastAsia="仿宋" w:hAnsi="仿宋" w:cs="仿宋" w:hint="eastAsia"/>
                <w:b/>
                <w:bCs/>
                <w:kern w:val="0"/>
              </w:rPr>
              <w:t>男性数字人模块</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1</w:t>
            </w:r>
          </w:p>
        </w:tc>
        <w:tc>
          <w:tcPr>
            <w:tcW w:w="7703" w:type="dxa"/>
            <w:gridSpan w:val="2"/>
          </w:tcPr>
          <w:p w:rsidR="00E63B7F" w:rsidRDefault="00A11006" w:rsidP="00786F6C">
            <w:pPr>
              <w:spacing w:line="240" w:lineRule="auto"/>
              <w:ind w:firstLineChars="0" w:firstLine="0"/>
              <w:rPr>
                <w:rFonts w:ascii="仿宋" w:eastAsia="仿宋" w:hAnsi="仿宋" w:cs="仿宋"/>
                <w:bCs/>
                <w:kern w:val="0"/>
              </w:rPr>
            </w:pPr>
            <w:r>
              <w:rPr>
                <w:rFonts w:ascii="仿宋_GB2312" w:eastAsia="仿宋_GB2312" w:hint="eastAsia"/>
                <w:bCs/>
              </w:rPr>
              <w:t>5个不同体重的MCNP男性人体数字模型输入文件</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2</w:t>
            </w:r>
          </w:p>
        </w:tc>
        <w:tc>
          <w:tcPr>
            <w:tcW w:w="7703" w:type="dxa"/>
            <w:gridSpan w:val="2"/>
          </w:tcPr>
          <w:p w:rsidR="00E63B7F" w:rsidRDefault="00A11006" w:rsidP="00786F6C">
            <w:pPr>
              <w:spacing w:line="240" w:lineRule="auto"/>
              <w:ind w:firstLineChars="0" w:firstLine="0"/>
              <w:rPr>
                <w:rFonts w:ascii="仿宋_GB2312" w:eastAsia="仿宋_GB2312"/>
                <w:bCs/>
              </w:rPr>
            </w:pPr>
            <w:proofErr w:type="gramStart"/>
            <w:r>
              <w:rPr>
                <w:rFonts w:ascii="仿宋_GB2312" w:eastAsia="仿宋_GB2312" w:hint="eastAsia"/>
                <w:bCs/>
              </w:rPr>
              <w:t>每个模体包含</w:t>
            </w:r>
            <w:proofErr w:type="gramEnd"/>
            <w:r>
              <w:rPr>
                <w:rFonts w:ascii="仿宋_GB2312" w:eastAsia="仿宋_GB2312" w:hint="eastAsia"/>
                <w:bCs/>
              </w:rPr>
              <w:t>人体重要的器官，具体如下：脑、舌头、左侧眼睛，晶体、 右侧眼睛，晶体、左侧眼睛/眼球、右侧眼睛/眼球、呼吸系统ET区、脑下垂体、左侧唾液腺、右侧唾液腺、甲状腺、扁桃体、左侧肾上腺、右</w:t>
            </w:r>
            <w:r>
              <w:rPr>
                <w:rFonts w:ascii="仿宋_GB2312" w:eastAsia="仿宋_GB2312" w:hint="eastAsia"/>
                <w:bCs/>
              </w:rPr>
              <w:lastRenderedPageBreak/>
              <w:t>侧肾上腺、气管、细支气管、胆囊壁、胆囊内容物、胃壁、胃内容物、小肠、升结肠壁、右侧横结肠壁、左侧横结肠壁、降结肠壁、乙状结肠壁、升结肠内容物、右侧横结肠内容物、左侧横结肠内容物、降结肠内容物、乙状结肠内容物、直肠、心脏壁、心脏内容物、左侧肾脏皮质、左侧肾脏髓质、左侧肾盂、右侧肾脏皮质、右侧肾脏髓质、右侧肾盂、肝脏、左侧肺、右侧肺、食道、胰腺、前列腺、脊髓、脾脏、左侧睾丸、右侧睾丸、胸腺、左侧输尿管、右侧输尿管、膀胱壁、膀胱内容物，头骨、颈椎、胸椎、腰椎、骶骨、骨盆、胸骨、肋骨、股骨、小臂骨、小腿骨、足骨等</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lastRenderedPageBreak/>
              <w:t>3</w:t>
            </w:r>
          </w:p>
        </w:tc>
        <w:tc>
          <w:tcPr>
            <w:tcW w:w="7703" w:type="dxa"/>
            <w:gridSpan w:val="2"/>
          </w:tcPr>
          <w:p w:rsidR="00E63B7F" w:rsidRDefault="00A11006" w:rsidP="00786F6C">
            <w:pPr>
              <w:spacing w:line="240" w:lineRule="auto"/>
              <w:ind w:firstLineChars="0" w:firstLine="0"/>
              <w:rPr>
                <w:rFonts w:ascii="仿宋_GB2312" w:eastAsia="仿宋_GB2312"/>
                <w:bCs/>
              </w:rPr>
            </w:pPr>
            <w:r>
              <w:rPr>
                <w:rFonts w:ascii="仿宋_GB2312" w:eastAsia="仿宋_GB2312" w:hint="eastAsia"/>
                <w:bCs/>
              </w:rPr>
              <w:t>体素模型体素分辨率：4mm</w:t>
            </w:r>
            <w:r>
              <w:rPr>
                <w:rFonts w:ascii="仿宋_GB2312" w:eastAsia="仿宋_GB2312" w:hAnsi="仿宋" w:hint="eastAsia"/>
              </w:rPr>
              <w:t>×4 mm×4mm（±2%）</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4</w:t>
            </w:r>
          </w:p>
        </w:tc>
        <w:tc>
          <w:tcPr>
            <w:tcW w:w="7703" w:type="dxa"/>
            <w:gridSpan w:val="2"/>
          </w:tcPr>
          <w:p w:rsidR="00E63B7F" w:rsidRDefault="00A11006" w:rsidP="00786F6C">
            <w:pPr>
              <w:autoSpaceDE w:val="0"/>
              <w:autoSpaceDN w:val="0"/>
              <w:spacing w:line="312" w:lineRule="auto"/>
              <w:ind w:firstLineChars="0" w:firstLine="0"/>
              <w:rPr>
                <w:rFonts w:ascii="仿宋_GB2312" w:eastAsia="仿宋_GB2312"/>
                <w:bCs/>
              </w:rPr>
            </w:pPr>
            <w:r>
              <w:rPr>
                <w:rFonts w:ascii="仿宋_GB2312" w:eastAsia="仿宋_GB2312" w:hint="eastAsia"/>
                <w:bCs/>
              </w:rPr>
              <w:t>5个人体模型体重分别为：72kg、85Kg,105Kg,115Kg,135Kg (</w:t>
            </w:r>
            <w:r>
              <w:rPr>
                <w:rFonts w:ascii="仿宋_GB2312" w:eastAsia="仿宋_GB2312" w:hAnsi="仿宋" w:hint="eastAsia"/>
              </w:rPr>
              <w:t>±2%)</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5</w:t>
            </w:r>
          </w:p>
        </w:tc>
        <w:tc>
          <w:tcPr>
            <w:tcW w:w="7703" w:type="dxa"/>
            <w:gridSpan w:val="2"/>
          </w:tcPr>
          <w:p w:rsidR="00E63B7F" w:rsidRDefault="00A11006" w:rsidP="00786F6C">
            <w:pPr>
              <w:autoSpaceDE w:val="0"/>
              <w:autoSpaceDN w:val="0"/>
              <w:spacing w:line="312" w:lineRule="auto"/>
              <w:ind w:firstLineChars="0" w:firstLine="0"/>
              <w:rPr>
                <w:rFonts w:ascii="仿宋_GB2312" w:eastAsia="仿宋_GB2312"/>
                <w:bCs/>
              </w:rPr>
            </w:pPr>
            <w:r>
              <w:rPr>
                <w:rFonts w:ascii="仿宋_GB2312" w:eastAsia="仿宋_GB2312" w:hint="eastAsia"/>
                <w:bCs/>
              </w:rPr>
              <w:t>须在5个人体数字模型输入文件里说明体素模型的长、宽、高数据（</w:t>
            </w:r>
            <w:proofErr w:type="spellStart"/>
            <w:r>
              <w:rPr>
                <w:rFonts w:ascii="仿宋_GB2312" w:eastAsia="仿宋_GB2312" w:hint="eastAsia"/>
                <w:bCs/>
              </w:rPr>
              <w:t>Xcm</w:t>
            </w:r>
            <w:proofErr w:type="spellEnd"/>
            <w:r>
              <w:rPr>
                <w:rFonts w:ascii="仿宋_GB2312" w:eastAsia="仿宋_GB2312" w:hint="eastAsia"/>
                <w:bCs/>
              </w:rPr>
              <w:t>*</w:t>
            </w:r>
            <w:proofErr w:type="spellStart"/>
            <w:r>
              <w:rPr>
                <w:rFonts w:ascii="仿宋_GB2312" w:eastAsia="仿宋_GB2312" w:hint="eastAsia"/>
                <w:bCs/>
              </w:rPr>
              <w:t>Ycm</w:t>
            </w:r>
            <w:proofErr w:type="spellEnd"/>
            <w:r>
              <w:rPr>
                <w:rFonts w:ascii="仿宋_GB2312" w:eastAsia="仿宋_GB2312" w:hint="eastAsia"/>
                <w:bCs/>
              </w:rPr>
              <w:t>*</w:t>
            </w:r>
            <w:proofErr w:type="spellStart"/>
            <w:r>
              <w:rPr>
                <w:rFonts w:ascii="仿宋_GB2312" w:eastAsia="仿宋_GB2312" w:hint="eastAsia"/>
                <w:bCs/>
              </w:rPr>
              <w:t>Zcm</w:t>
            </w:r>
            <w:proofErr w:type="spellEnd"/>
            <w:r>
              <w:rPr>
                <w:rFonts w:ascii="仿宋_GB2312" w:eastAsia="仿宋_GB2312" w:hint="eastAsia"/>
                <w:bCs/>
              </w:rPr>
              <w:t>）、每个体素的大小、整个体素模型的身高、体重数据</w:t>
            </w:r>
          </w:p>
        </w:tc>
      </w:tr>
      <w:tr w:rsidR="00E63B7F" w:rsidTr="00786F6C">
        <w:trPr>
          <w:jc w:val="center"/>
        </w:trPr>
        <w:tc>
          <w:tcPr>
            <w:tcW w:w="816" w:type="dxa"/>
            <w:vAlign w:val="center"/>
          </w:tcPr>
          <w:p w:rsidR="00E63B7F" w:rsidRDefault="00A11006" w:rsidP="00786F6C">
            <w:pPr>
              <w:spacing w:line="240" w:lineRule="auto"/>
              <w:ind w:firstLineChars="0" w:firstLine="0"/>
              <w:rPr>
                <w:rFonts w:ascii="仿宋" w:eastAsia="仿宋" w:hAnsi="仿宋" w:cs="仿宋"/>
                <w:bCs/>
                <w:kern w:val="0"/>
              </w:rPr>
            </w:pPr>
            <w:r>
              <w:rPr>
                <w:rFonts w:ascii="仿宋" w:eastAsia="仿宋" w:hAnsi="仿宋" w:cs="仿宋" w:hint="eastAsia"/>
                <w:bCs/>
                <w:kern w:val="0"/>
              </w:rPr>
              <w:t>6</w:t>
            </w:r>
          </w:p>
        </w:tc>
        <w:tc>
          <w:tcPr>
            <w:tcW w:w="7703" w:type="dxa"/>
            <w:gridSpan w:val="2"/>
          </w:tcPr>
          <w:p w:rsidR="00E63B7F" w:rsidRDefault="00A11006" w:rsidP="00786F6C">
            <w:pPr>
              <w:autoSpaceDE w:val="0"/>
              <w:autoSpaceDN w:val="0"/>
              <w:spacing w:line="312" w:lineRule="auto"/>
              <w:ind w:firstLineChars="0" w:firstLine="0"/>
              <w:rPr>
                <w:rFonts w:ascii="仿宋_GB2312" w:eastAsia="仿宋_GB2312"/>
                <w:bCs/>
              </w:rPr>
            </w:pPr>
            <w:r>
              <w:rPr>
                <w:rFonts w:ascii="仿宋_GB2312" w:eastAsia="仿宋_GB2312" w:hint="eastAsia"/>
                <w:bCs/>
              </w:rPr>
              <w:t>须在5个人体数字模型输入文件中的U卡标记清楚对应的各个器官名称</w:t>
            </w:r>
          </w:p>
        </w:tc>
      </w:tr>
      <w:tr w:rsidR="00E63B7F" w:rsidTr="00786F6C">
        <w:trPr>
          <w:jc w:val="center"/>
        </w:trPr>
        <w:tc>
          <w:tcPr>
            <w:tcW w:w="816" w:type="dxa"/>
            <w:vAlign w:val="center"/>
          </w:tcPr>
          <w:p w:rsidR="00E63B7F" w:rsidRPr="00442D99" w:rsidRDefault="00A11006" w:rsidP="00786F6C">
            <w:pPr>
              <w:spacing w:line="240" w:lineRule="auto"/>
              <w:ind w:firstLineChars="0" w:firstLine="0"/>
              <w:rPr>
                <w:rFonts w:ascii="仿宋" w:eastAsia="仿宋" w:hAnsi="仿宋" w:cs="仿宋"/>
                <w:b/>
                <w:bCs/>
                <w:kern w:val="0"/>
              </w:rPr>
            </w:pPr>
            <w:r w:rsidRPr="00442D99">
              <w:rPr>
                <w:rFonts w:ascii="仿宋" w:eastAsia="仿宋" w:hAnsi="仿宋" w:cs="仿宋" w:hint="eastAsia"/>
                <w:b/>
                <w:bCs/>
                <w:kern w:val="0"/>
              </w:rPr>
              <w:t>四</w:t>
            </w:r>
          </w:p>
        </w:tc>
        <w:tc>
          <w:tcPr>
            <w:tcW w:w="7703" w:type="dxa"/>
            <w:gridSpan w:val="2"/>
          </w:tcPr>
          <w:p w:rsidR="00E63B7F" w:rsidRPr="00442D99" w:rsidRDefault="00A11006" w:rsidP="00786F6C">
            <w:pPr>
              <w:spacing w:line="240" w:lineRule="auto"/>
              <w:ind w:firstLineChars="0" w:firstLine="0"/>
              <w:rPr>
                <w:rFonts w:ascii="仿宋" w:eastAsia="仿宋" w:hAnsi="仿宋" w:cs="仿宋"/>
                <w:b/>
                <w:bCs/>
                <w:kern w:val="0"/>
              </w:rPr>
            </w:pPr>
            <w:r w:rsidRPr="00442D99">
              <w:rPr>
                <w:rFonts w:ascii="仿宋" w:eastAsia="仿宋" w:hAnsi="仿宋" w:cs="仿宋" w:hint="eastAsia"/>
                <w:b/>
                <w:bCs/>
                <w:kern w:val="0"/>
              </w:rPr>
              <w:t>硬件配置</w:t>
            </w:r>
          </w:p>
        </w:tc>
      </w:tr>
      <w:tr w:rsidR="00E63B7F" w:rsidTr="00786F6C">
        <w:trPr>
          <w:jc w:val="center"/>
        </w:trPr>
        <w:tc>
          <w:tcPr>
            <w:tcW w:w="816" w:type="dxa"/>
            <w:shd w:val="clear" w:color="000000" w:fill="FFFFFF"/>
            <w:vAlign w:val="center"/>
          </w:tcPr>
          <w:p w:rsidR="00E63B7F" w:rsidRDefault="00A11006" w:rsidP="00786F6C">
            <w:pPr>
              <w:widowControl/>
              <w:numPr>
                <w:ilvl w:val="1"/>
                <w:numId w:val="0"/>
              </w:numPr>
              <w:spacing w:line="240" w:lineRule="auto"/>
              <w:rPr>
                <w:rFonts w:ascii="仿宋" w:eastAsia="仿宋" w:hAnsi="仿宋" w:cs="仿宋"/>
                <w:b/>
                <w:bCs/>
                <w:kern w:val="0"/>
              </w:rPr>
            </w:pPr>
            <w:r>
              <w:rPr>
                <w:rFonts w:ascii="仿宋" w:eastAsia="仿宋" w:hAnsi="仿宋" w:cs="仿宋" w:hint="eastAsia"/>
                <w:kern w:val="0"/>
              </w:rPr>
              <w:t>1</w:t>
            </w:r>
          </w:p>
        </w:tc>
        <w:tc>
          <w:tcPr>
            <w:tcW w:w="7703" w:type="dxa"/>
            <w:gridSpan w:val="2"/>
            <w:shd w:val="clear" w:color="000000" w:fill="FFFFFF"/>
          </w:tcPr>
          <w:p w:rsidR="00E63B7F" w:rsidRDefault="00A11006" w:rsidP="00786F6C">
            <w:pPr>
              <w:spacing w:line="240" w:lineRule="auto"/>
              <w:ind w:firstLineChars="0" w:firstLine="0"/>
              <w:rPr>
                <w:rFonts w:ascii="仿宋" w:eastAsia="仿宋" w:hAnsi="仿宋" w:cs="仿宋"/>
                <w:bCs/>
                <w:kern w:val="0"/>
                <w:lang w:eastAsia="zh-TW"/>
              </w:rPr>
            </w:pPr>
            <w:r>
              <w:rPr>
                <w:rFonts w:ascii="仿宋" w:eastAsia="仿宋" w:hAnsi="仿宋" w:cs="仿宋" w:hint="eastAsia"/>
                <w:kern w:val="0"/>
              </w:rPr>
              <w:t>专用数据存储服务器1台（容量4T或以上）</w:t>
            </w:r>
          </w:p>
        </w:tc>
      </w:tr>
      <w:tr w:rsidR="00E63B7F" w:rsidTr="00786F6C">
        <w:trPr>
          <w:jc w:val="center"/>
        </w:trPr>
        <w:tc>
          <w:tcPr>
            <w:tcW w:w="816" w:type="dxa"/>
            <w:shd w:val="clear" w:color="000000" w:fill="FFFFFF"/>
            <w:vAlign w:val="center"/>
          </w:tcPr>
          <w:p w:rsidR="00E63B7F" w:rsidRDefault="00A11006" w:rsidP="00786F6C">
            <w:pPr>
              <w:widowControl/>
              <w:numPr>
                <w:ilvl w:val="1"/>
                <w:numId w:val="0"/>
              </w:numPr>
              <w:spacing w:line="240" w:lineRule="auto"/>
              <w:rPr>
                <w:rFonts w:ascii="仿宋" w:eastAsia="仿宋" w:hAnsi="仿宋" w:cs="仿宋"/>
                <w:kern w:val="0"/>
              </w:rPr>
            </w:pPr>
            <w:r>
              <w:rPr>
                <w:rFonts w:ascii="仿宋" w:eastAsia="仿宋" w:hAnsi="仿宋" w:cs="仿宋" w:hint="eastAsia"/>
                <w:kern w:val="0"/>
              </w:rPr>
              <w:t>2</w:t>
            </w:r>
          </w:p>
        </w:tc>
        <w:tc>
          <w:tcPr>
            <w:tcW w:w="7703" w:type="dxa"/>
            <w:gridSpan w:val="2"/>
            <w:shd w:val="clear" w:color="000000" w:fill="FFFFFF"/>
          </w:tcPr>
          <w:p w:rsidR="00E63B7F" w:rsidRDefault="00A11006" w:rsidP="00786F6C">
            <w:pPr>
              <w:spacing w:line="240" w:lineRule="auto"/>
              <w:ind w:firstLineChars="0" w:firstLine="0"/>
              <w:rPr>
                <w:rFonts w:ascii="仿宋" w:eastAsia="仿宋" w:hAnsi="仿宋" w:cs="仿宋"/>
                <w:bCs/>
                <w:kern w:val="0"/>
                <w:lang w:eastAsia="zh-TW"/>
              </w:rPr>
            </w:pPr>
            <w:r>
              <w:rPr>
                <w:rFonts w:ascii="仿宋" w:eastAsia="仿宋" w:hAnsi="仿宋" w:cs="仿宋" w:hint="eastAsia"/>
                <w:b/>
                <w:kern w:val="0"/>
              </w:rPr>
              <w:t>★</w:t>
            </w:r>
            <w:r>
              <w:rPr>
                <w:rFonts w:ascii="仿宋" w:eastAsia="仿宋" w:hAnsi="仿宋" w:cs="仿宋" w:hint="eastAsia"/>
                <w:kern w:val="0"/>
              </w:rPr>
              <w:t>高性能GPU</w:t>
            </w:r>
            <w:proofErr w:type="gramStart"/>
            <w:r>
              <w:rPr>
                <w:rFonts w:ascii="仿宋" w:eastAsia="仿宋" w:hAnsi="仿宋" w:cs="仿宋" w:hint="eastAsia"/>
                <w:kern w:val="0"/>
              </w:rPr>
              <w:t>计算卡</w:t>
            </w:r>
            <w:proofErr w:type="gramEnd"/>
            <w:r>
              <w:rPr>
                <w:rFonts w:ascii="仿宋" w:eastAsia="仿宋" w:hAnsi="仿宋" w:cs="仿宋" w:hint="eastAsia"/>
                <w:kern w:val="0"/>
              </w:rPr>
              <w:t>1个（RTX3080或以上）</w:t>
            </w:r>
          </w:p>
        </w:tc>
      </w:tr>
      <w:tr w:rsidR="00E63B7F" w:rsidTr="00786F6C">
        <w:trPr>
          <w:jc w:val="center"/>
        </w:trPr>
        <w:tc>
          <w:tcPr>
            <w:tcW w:w="816" w:type="dxa"/>
            <w:shd w:val="clear" w:color="000000" w:fill="FFFFFF"/>
            <w:vAlign w:val="center"/>
          </w:tcPr>
          <w:p w:rsidR="00E63B7F" w:rsidRDefault="00A11006" w:rsidP="00786F6C">
            <w:pPr>
              <w:widowControl/>
              <w:spacing w:line="240" w:lineRule="auto"/>
              <w:ind w:firstLineChars="0" w:firstLine="0"/>
              <w:rPr>
                <w:rFonts w:ascii="仿宋" w:eastAsia="仿宋" w:hAnsi="仿宋" w:cs="仿宋"/>
                <w:kern w:val="0"/>
              </w:rPr>
            </w:pPr>
            <w:r>
              <w:rPr>
                <w:rFonts w:ascii="仿宋" w:eastAsia="仿宋" w:hAnsi="仿宋" w:cs="仿宋" w:hint="eastAsia"/>
                <w:kern w:val="0"/>
              </w:rPr>
              <w:t>3</w:t>
            </w:r>
          </w:p>
        </w:tc>
        <w:tc>
          <w:tcPr>
            <w:tcW w:w="7703" w:type="dxa"/>
            <w:gridSpan w:val="2"/>
            <w:shd w:val="clear" w:color="000000" w:fill="FFFFFF"/>
          </w:tcPr>
          <w:p w:rsidR="00E63B7F" w:rsidRDefault="00A11006" w:rsidP="00786F6C">
            <w:pPr>
              <w:spacing w:line="240" w:lineRule="auto"/>
              <w:ind w:firstLineChars="0" w:firstLine="0"/>
              <w:rPr>
                <w:rFonts w:ascii="仿宋" w:eastAsia="仿宋" w:hAnsi="仿宋" w:cs="仿宋"/>
                <w:bCs/>
                <w:kern w:val="0"/>
                <w:lang w:eastAsia="zh-TW"/>
              </w:rPr>
            </w:pPr>
            <w:r>
              <w:rPr>
                <w:rFonts w:ascii="仿宋" w:eastAsia="仿宋" w:hAnsi="仿宋" w:cs="仿宋" w:hint="eastAsia"/>
                <w:kern w:val="0"/>
              </w:rPr>
              <w:t>图形计算工作站1台（CPU英特尔酷</w:t>
            </w:r>
            <w:proofErr w:type="gramStart"/>
            <w:r>
              <w:rPr>
                <w:rFonts w:ascii="仿宋" w:eastAsia="仿宋" w:hAnsi="仿宋" w:cs="仿宋" w:hint="eastAsia"/>
                <w:kern w:val="0"/>
              </w:rPr>
              <w:t>睿</w:t>
            </w:r>
            <w:proofErr w:type="gramEnd"/>
            <w:r>
              <w:rPr>
                <w:rFonts w:ascii="仿宋" w:eastAsia="仿宋" w:hAnsi="仿宋" w:cs="仿宋" w:hint="eastAsia"/>
                <w:kern w:val="0"/>
              </w:rPr>
              <w:t>i5处理器或以上；内存64G或以上；230G 固态硬盘或以上；硬盘2T或以上；显示器27寸或以上）</w:t>
            </w:r>
          </w:p>
        </w:tc>
      </w:tr>
    </w:tbl>
    <w:p w:rsidR="00E63B7F" w:rsidRDefault="00E63B7F">
      <w:pPr>
        <w:spacing w:line="240" w:lineRule="auto"/>
        <w:ind w:firstLineChars="0" w:firstLine="0"/>
      </w:pPr>
    </w:p>
    <w:p w:rsidR="006A6510" w:rsidRDefault="006A6510">
      <w:pPr>
        <w:spacing w:line="240" w:lineRule="auto"/>
        <w:ind w:firstLineChars="0" w:firstLine="0"/>
      </w:pPr>
    </w:p>
    <w:p w:rsidR="006A6510" w:rsidRDefault="006A6510">
      <w:pPr>
        <w:spacing w:line="240" w:lineRule="auto"/>
        <w:ind w:firstLineChars="0" w:firstLine="0"/>
        <w:rPr>
          <w:sz w:val="32"/>
        </w:rPr>
      </w:pPr>
      <w:bookmarkStart w:id="4" w:name="_GoBack"/>
      <w:bookmarkEnd w:id="4"/>
    </w:p>
    <w:sectPr w:rsidR="006A651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B1" w:rsidRDefault="00045BB1">
      <w:pPr>
        <w:spacing w:line="240" w:lineRule="auto"/>
        <w:ind w:firstLine="480"/>
      </w:pPr>
      <w:r>
        <w:separator/>
      </w:r>
    </w:p>
  </w:endnote>
  <w:endnote w:type="continuationSeparator" w:id="0">
    <w:p w:rsidR="00045BB1" w:rsidRDefault="00045B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书宋二KW">
    <w:altName w:val="微软雅黑"/>
    <w:charset w:val="86"/>
    <w:family w:val="auto"/>
    <w:pitch w:val="default"/>
    <w:sig w:usb0="00000000" w:usb1="00000000" w:usb2="00000016" w:usb3="00000000" w:csb0="00040000" w:csb1="00000000"/>
  </w:font>
  <w:font w:name="Wingdings">
    <w:panose1 w:val="05000000000000000000"/>
    <w:charset w:val="02"/>
    <w:family w:val="auto"/>
    <w:pitch w:val="variable"/>
    <w:sig w:usb0="00000000" w:usb1="10000000" w:usb2="00000000" w:usb3="00000000" w:csb0="80000000" w:csb1="00000000"/>
  </w:font>
  <w:font w:name="PingFangHK">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Segoe Print"/>
    <w:charset w:val="00"/>
    <w:family w:val="roman"/>
    <w:pitch w:val="default"/>
    <w:sig w:usb0="00000000" w:usb1="00000000" w:usb2="00000008" w:usb3="00000000" w:csb0="000001FF" w:csb1="00000000"/>
  </w:font>
  <w:font w:name="Kaiti SC">
    <w:altName w:val="宋体"/>
    <w:charset w:val="86"/>
    <w:family w:val="auto"/>
    <w:pitch w:val="default"/>
    <w:sig w:usb0="00000000" w:usb1="0000000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e"/>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e"/>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B1" w:rsidRDefault="00045BB1">
      <w:pPr>
        <w:ind w:firstLine="480"/>
      </w:pPr>
      <w:r>
        <w:separator/>
      </w:r>
    </w:p>
  </w:footnote>
  <w:footnote w:type="continuationSeparator" w:id="0">
    <w:p w:rsidR="00045BB1" w:rsidRDefault="00045BB1">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c"/>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c"/>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6" w:rsidRDefault="006E6C06">
    <w:pPr>
      <w:pStyle w:val="ac"/>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24507"/>
    <w:multiLevelType w:val="multilevel"/>
    <w:tmpl w:val="82C24507"/>
    <w:lvl w:ilvl="0">
      <w:start w:val="7"/>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833AE937"/>
    <w:multiLevelType w:val="multilevel"/>
    <w:tmpl w:val="833AE937"/>
    <w:lvl w:ilvl="0">
      <w:start w:val="4"/>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8CE0BA01"/>
    <w:multiLevelType w:val="multilevel"/>
    <w:tmpl w:val="8CE0BA01"/>
    <w:lvl w:ilvl="0">
      <w:start w:val="6"/>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8DA892FE"/>
    <w:multiLevelType w:val="multilevel"/>
    <w:tmpl w:val="8DA892FE"/>
    <w:lvl w:ilvl="0">
      <w:start w:val="9"/>
      <w:numFmt w:val="decimal"/>
      <w:lvlText w:val="%1."/>
      <w:lvlJc w:val="left"/>
      <w:pPr>
        <w:ind w:left="425" w:hanging="425"/>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949BCF3E"/>
    <w:multiLevelType w:val="multilevel"/>
    <w:tmpl w:val="949BCF3E"/>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A8885F9B"/>
    <w:multiLevelType w:val="multilevel"/>
    <w:tmpl w:val="A8885F9B"/>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B8BC42E7"/>
    <w:multiLevelType w:val="multilevel"/>
    <w:tmpl w:val="B8BC42E7"/>
    <w:lvl w:ilvl="0">
      <w:start w:val="5"/>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BA5F51B9"/>
    <w:multiLevelType w:val="multilevel"/>
    <w:tmpl w:val="BA5F51B9"/>
    <w:lvl w:ilvl="0">
      <w:start w:val="3"/>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C9820444"/>
    <w:multiLevelType w:val="singleLevel"/>
    <w:tmpl w:val="C9820444"/>
    <w:lvl w:ilvl="0">
      <w:start w:val="1"/>
      <w:numFmt w:val="decimal"/>
      <w:lvlText w:val="%1."/>
      <w:lvlJc w:val="left"/>
      <w:pPr>
        <w:ind w:left="425" w:hanging="425"/>
      </w:pPr>
      <w:rPr>
        <w:rFonts w:hint="default"/>
        <w:b/>
        <w:bCs/>
      </w:rPr>
    </w:lvl>
  </w:abstractNum>
  <w:abstractNum w:abstractNumId="9" w15:restartNumberingAfterBreak="0">
    <w:nsid w:val="FF7F1E50"/>
    <w:multiLevelType w:val="multilevel"/>
    <w:tmpl w:val="FF7F1E50"/>
    <w:lvl w:ilvl="0">
      <w:start w:val="1"/>
      <w:numFmt w:val="decimal"/>
      <w:pStyle w:val="1"/>
      <w:lvlText w:val="%1."/>
      <w:lvlJc w:val="left"/>
      <w:pPr>
        <w:ind w:left="425" w:hanging="425"/>
      </w:pPr>
      <w:rPr>
        <w:rFonts w:ascii="宋体" w:eastAsia="宋体" w:hAnsi="宋体" w:cs="汉仪书宋二KW" w:hint="default"/>
      </w:rPr>
    </w:lvl>
    <w:lvl w:ilvl="1">
      <w:start w:val="1"/>
      <w:numFmt w:val="decimal"/>
      <w:pStyle w:val="2"/>
      <w:lvlText w:val="%1.%2."/>
      <w:lvlJc w:val="left"/>
      <w:pPr>
        <w:ind w:left="567" w:hanging="567"/>
      </w:pPr>
      <w:rPr>
        <w:rFonts w:ascii="宋体" w:eastAsia="宋体" w:hAnsi="宋体" w:cs="汉仪书宋二KW" w:hint="default"/>
      </w:rPr>
    </w:lvl>
    <w:lvl w:ilvl="2">
      <w:start w:val="1"/>
      <w:numFmt w:val="decimal"/>
      <w:pStyle w:val="3"/>
      <w:lvlText w:val="%1.%2.%3."/>
      <w:lvlJc w:val="left"/>
      <w:pPr>
        <w:ind w:left="709" w:hanging="709"/>
      </w:pPr>
      <w:rPr>
        <w:rFonts w:ascii="宋体" w:eastAsia="宋体" w:hAnsi="宋体" w:cs="汉仪书宋二KW" w:hint="default"/>
      </w:rPr>
    </w:lvl>
    <w:lvl w:ilvl="3">
      <w:start w:val="1"/>
      <w:numFmt w:val="decimal"/>
      <w:pStyle w:val="4"/>
      <w:lvlText w:val="%1.%2.%3.%4."/>
      <w:lvlJc w:val="left"/>
      <w:pPr>
        <w:ind w:left="850" w:hanging="850"/>
      </w:pPr>
      <w:rPr>
        <w:rFonts w:ascii="宋体" w:eastAsia="宋体" w:hAnsi="宋体" w:cs="汉仪书宋二KW" w:hint="default"/>
      </w:rPr>
    </w:lvl>
    <w:lvl w:ilvl="4">
      <w:start w:val="1"/>
      <w:numFmt w:val="decimal"/>
      <w:pStyle w:val="5"/>
      <w:lvlText w:val="%1.%2.%3.%4.%5."/>
      <w:lvlJc w:val="left"/>
      <w:pPr>
        <w:ind w:left="991" w:hanging="991"/>
      </w:pPr>
      <w:rPr>
        <w:rFonts w:ascii="宋体" w:eastAsia="宋体" w:hAnsi="宋体" w:cs="汉仪书宋二KW" w:hint="default"/>
      </w:rPr>
    </w:lvl>
    <w:lvl w:ilvl="5">
      <w:start w:val="1"/>
      <w:numFmt w:val="decimal"/>
      <w:pStyle w:val="6"/>
      <w:lvlText w:val="%1.%2.%3.%4.%5.%6."/>
      <w:lvlJc w:val="left"/>
      <w:pPr>
        <w:ind w:left="1134" w:hanging="1134"/>
      </w:pPr>
      <w:rPr>
        <w:rFonts w:ascii="宋体" w:eastAsia="宋体" w:hAnsi="宋体" w:cs="汉仪书宋二KW" w:hint="default"/>
      </w:rPr>
    </w:lvl>
    <w:lvl w:ilvl="6">
      <w:start w:val="1"/>
      <w:numFmt w:val="decimal"/>
      <w:pStyle w:val="7"/>
      <w:lvlText w:val="%1.%2.%3.%4.%5.%6.%7."/>
      <w:lvlJc w:val="left"/>
      <w:pPr>
        <w:ind w:left="1275" w:hanging="1275"/>
      </w:pPr>
      <w:rPr>
        <w:rFonts w:ascii="宋体" w:eastAsia="宋体" w:hAnsi="宋体" w:cs="汉仪书宋二KW" w:hint="default"/>
      </w:rPr>
    </w:lvl>
    <w:lvl w:ilvl="7">
      <w:start w:val="1"/>
      <w:numFmt w:val="decimal"/>
      <w:pStyle w:val="8"/>
      <w:lvlText w:val="%1.%2.%3.%4.%5.%6.%7.%8."/>
      <w:lvlJc w:val="left"/>
      <w:pPr>
        <w:ind w:left="1418" w:hanging="1418"/>
      </w:pPr>
      <w:rPr>
        <w:rFonts w:ascii="宋体" w:eastAsia="宋体" w:hAnsi="宋体" w:cs="汉仪书宋二KW" w:hint="default"/>
      </w:rPr>
    </w:lvl>
    <w:lvl w:ilvl="8">
      <w:start w:val="1"/>
      <w:numFmt w:val="decimal"/>
      <w:pStyle w:val="9"/>
      <w:lvlText w:val="%1.%2.%3.%4.%5.%6.%7.%8.%9."/>
      <w:lvlJc w:val="left"/>
      <w:pPr>
        <w:ind w:left="1558" w:hanging="1558"/>
      </w:pPr>
      <w:rPr>
        <w:rFonts w:hint="default"/>
      </w:rPr>
    </w:lvl>
  </w:abstractNum>
  <w:abstractNum w:abstractNumId="10" w15:restartNumberingAfterBreak="0">
    <w:nsid w:val="FFFF712C"/>
    <w:multiLevelType w:val="multilevel"/>
    <w:tmpl w:val="FFFF712C"/>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650D99"/>
    <w:multiLevelType w:val="multilevel"/>
    <w:tmpl w:val="53650D99"/>
    <w:lvl w:ilvl="0">
      <w:start w:val="8"/>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6191CF16"/>
    <w:multiLevelType w:val="multilevel"/>
    <w:tmpl w:val="6191CF16"/>
    <w:lvl w:ilvl="0">
      <w:start w:val="1"/>
      <w:numFmt w:val="decimal"/>
      <w:pStyle w:val="40"/>
      <w:lvlText w:val="%1."/>
      <w:lvlJc w:val="left"/>
      <w:pPr>
        <w:ind w:left="425" w:hanging="425"/>
      </w:pPr>
      <w:rPr>
        <w:rFonts w:ascii="宋体" w:eastAsia="宋体" w:hAnsi="宋体" w:cs="PingFangHK" w:hint="default"/>
      </w:rPr>
    </w:lvl>
    <w:lvl w:ilvl="1">
      <w:start w:val="1"/>
      <w:numFmt w:val="decimal"/>
      <w:lvlText w:val="%1.%2."/>
      <w:lvlJc w:val="left"/>
      <w:pPr>
        <w:ind w:left="567" w:hanging="567"/>
      </w:pPr>
      <w:rPr>
        <w:rFonts w:ascii="宋体" w:eastAsia="宋体" w:hAnsi="宋体" w:cs="PingFangHK" w:hint="default"/>
      </w:rPr>
    </w:lvl>
    <w:lvl w:ilvl="2">
      <w:start w:val="1"/>
      <w:numFmt w:val="decimal"/>
      <w:lvlText w:val="%1.%2.%3."/>
      <w:lvlJc w:val="left"/>
      <w:pPr>
        <w:ind w:left="709" w:hanging="709"/>
      </w:pPr>
      <w:rPr>
        <w:rFonts w:ascii="宋体" w:eastAsia="宋体" w:hAnsi="宋体" w:cs="PingFangHK" w:hint="default"/>
      </w:rPr>
    </w:lvl>
    <w:lvl w:ilvl="3">
      <w:start w:val="1"/>
      <w:numFmt w:val="decimal"/>
      <w:lvlText w:val="%1.%2.%3.%4."/>
      <w:lvlJc w:val="left"/>
      <w:pPr>
        <w:ind w:left="850" w:hanging="850"/>
      </w:pPr>
      <w:rPr>
        <w:rFonts w:ascii="宋体" w:eastAsia="宋体" w:hAnsi="宋体" w:cs="PingFangHK"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9"/>
  </w:num>
  <w:num w:numId="2">
    <w:abstractNumId w:val="12"/>
  </w:num>
  <w:num w:numId="3">
    <w:abstractNumId w:val="10"/>
  </w:num>
  <w:num w:numId="4">
    <w:abstractNumId w:val="8"/>
  </w:num>
  <w:num w:numId="5">
    <w:abstractNumId w:val="5"/>
  </w:num>
  <w:num w:numId="6">
    <w:abstractNumId w:val="4"/>
  </w:num>
  <w:num w:numId="7">
    <w:abstractNumId w:val="7"/>
  </w:num>
  <w:num w:numId="8">
    <w:abstractNumId w:val="1"/>
  </w:num>
  <w:num w:numId="9">
    <w:abstractNumId w:val="6"/>
  </w:num>
  <w:num w:numId="10">
    <w:abstractNumId w:val="2"/>
  </w:num>
  <w:num w:numId="11">
    <w:abstractNumId w:val="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EFA00"/>
    <w:rsid w:val="6FFEFA00"/>
    <w:rsid w:val="81AE5BB0"/>
    <w:rsid w:val="871A2AF6"/>
    <w:rsid w:val="967C4C75"/>
    <w:rsid w:val="96BB8522"/>
    <w:rsid w:val="96FD9BB9"/>
    <w:rsid w:val="97B13A16"/>
    <w:rsid w:val="97CFA288"/>
    <w:rsid w:val="98B7A846"/>
    <w:rsid w:val="9ABCF40D"/>
    <w:rsid w:val="9AFDE784"/>
    <w:rsid w:val="9CAE1D87"/>
    <w:rsid w:val="9DFF041F"/>
    <w:rsid w:val="9EB75A88"/>
    <w:rsid w:val="9F3F69D3"/>
    <w:rsid w:val="9F7F6390"/>
    <w:rsid w:val="9FFDC5EA"/>
    <w:rsid w:val="A77BBE4C"/>
    <w:rsid w:val="AAFB0BE7"/>
    <w:rsid w:val="ABDBFDAE"/>
    <w:rsid w:val="AFFAC12D"/>
    <w:rsid w:val="AFFFB799"/>
    <w:rsid w:val="B67F0FFD"/>
    <w:rsid w:val="B6BF9F45"/>
    <w:rsid w:val="B79C48AE"/>
    <w:rsid w:val="B7E85EA1"/>
    <w:rsid w:val="B7FF1C72"/>
    <w:rsid w:val="B97A6027"/>
    <w:rsid w:val="B97A971C"/>
    <w:rsid w:val="B9FF8CCC"/>
    <w:rsid w:val="BB7E1DD9"/>
    <w:rsid w:val="BB9DA536"/>
    <w:rsid w:val="BBEFF9B0"/>
    <w:rsid w:val="BBF73129"/>
    <w:rsid w:val="BBFB98AD"/>
    <w:rsid w:val="BD5B735C"/>
    <w:rsid w:val="BDBFF3D3"/>
    <w:rsid w:val="BDECE159"/>
    <w:rsid w:val="BDF8127C"/>
    <w:rsid w:val="BDFE0D9C"/>
    <w:rsid w:val="BDFFE810"/>
    <w:rsid w:val="BEDA2462"/>
    <w:rsid w:val="BEFF5B6A"/>
    <w:rsid w:val="BF263589"/>
    <w:rsid w:val="BF6352F2"/>
    <w:rsid w:val="BFCB7ED0"/>
    <w:rsid w:val="BFEF1347"/>
    <w:rsid w:val="BFF5962A"/>
    <w:rsid w:val="BFFD4782"/>
    <w:rsid w:val="C9FE0FD5"/>
    <w:rsid w:val="CBFF02A5"/>
    <w:rsid w:val="CD771320"/>
    <w:rsid w:val="CDEE892C"/>
    <w:rsid w:val="CE4FC8DB"/>
    <w:rsid w:val="CF3FCBE7"/>
    <w:rsid w:val="CFA743DD"/>
    <w:rsid w:val="CFCFF081"/>
    <w:rsid w:val="CFFB88A8"/>
    <w:rsid w:val="D5ED2994"/>
    <w:rsid w:val="D6FF27BC"/>
    <w:rsid w:val="D7FB469C"/>
    <w:rsid w:val="D7FFA4D5"/>
    <w:rsid w:val="DA7BD60B"/>
    <w:rsid w:val="DAA704F6"/>
    <w:rsid w:val="DBF581E8"/>
    <w:rsid w:val="DDAF91E7"/>
    <w:rsid w:val="DDFF82EE"/>
    <w:rsid w:val="DEF69152"/>
    <w:rsid w:val="DEFEA304"/>
    <w:rsid w:val="DF5767E0"/>
    <w:rsid w:val="DF7F5660"/>
    <w:rsid w:val="DF8F99CD"/>
    <w:rsid w:val="DFAF1395"/>
    <w:rsid w:val="DFBF7279"/>
    <w:rsid w:val="DFBFDFA9"/>
    <w:rsid w:val="DFDF3CE1"/>
    <w:rsid w:val="DFE562F9"/>
    <w:rsid w:val="DFFBD817"/>
    <w:rsid w:val="DFFE0279"/>
    <w:rsid w:val="DFFFFCA0"/>
    <w:rsid w:val="E16FAB3B"/>
    <w:rsid w:val="E39EEC90"/>
    <w:rsid w:val="E45661DB"/>
    <w:rsid w:val="E4E8DC00"/>
    <w:rsid w:val="E55EFEE5"/>
    <w:rsid w:val="E6C6CDC6"/>
    <w:rsid w:val="E6FB9F18"/>
    <w:rsid w:val="E7D7BA43"/>
    <w:rsid w:val="E7F81200"/>
    <w:rsid w:val="E9DFA925"/>
    <w:rsid w:val="E9F4BC2B"/>
    <w:rsid w:val="E9F6D588"/>
    <w:rsid w:val="EA7F6066"/>
    <w:rsid w:val="EAFFB580"/>
    <w:rsid w:val="EB7FC741"/>
    <w:rsid w:val="EBEC3E71"/>
    <w:rsid w:val="EBF3D15B"/>
    <w:rsid w:val="EBFB170B"/>
    <w:rsid w:val="EBFD531D"/>
    <w:rsid w:val="ECBE375C"/>
    <w:rsid w:val="ECEE2000"/>
    <w:rsid w:val="ECFD6F92"/>
    <w:rsid w:val="EDE9AEA0"/>
    <w:rsid w:val="EDED7F88"/>
    <w:rsid w:val="EFD689EC"/>
    <w:rsid w:val="EFEFAA7C"/>
    <w:rsid w:val="EFF7A27C"/>
    <w:rsid w:val="EFFE0F90"/>
    <w:rsid w:val="F1F969F3"/>
    <w:rsid w:val="F25FDE94"/>
    <w:rsid w:val="F27F4A37"/>
    <w:rsid w:val="F2BA10B7"/>
    <w:rsid w:val="F2DF1A44"/>
    <w:rsid w:val="F2EB063A"/>
    <w:rsid w:val="F2F175D8"/>
    <w:rsid w:val="F35E955B"/>
    <w:rsid w:val="F3BDDD38"/>
    <w:rsid w:val="F4EFDF4B"/>
    <w:rsid w:val="F4FFEF0A"/>
    <w:rsid w:val="F53F7A90"/>
    <w:rsid w:val="F5B9D0EE"/>
    <w:rsid w:val="F5DF8E5E"/>
    <w:rsid w:val="F5FE6242"/>
    <w:rsid w:val="F65A6343"/>
    <w:rsid w:val="F6DF9C74"/>
    <w:rsid w:val="F761B00F"/>
    <w:rsid w:val="F76BD4F0"/>
    <w:rsid w:val="F775B81E"/>
    <w:rsid w:val="F776A011"/>
    <w:rsid w:val="F77C99C7"/>
    <w:rsid w:val="F78B7F27"/>
    <w:rsid w:val="F78F711F"/>
    <w:rsid w:val="F79EA7DE"/>
    <w:rsid w:val="F7BFAF16"/>
    <w:rsid w:val="F7C65DEB"/>
    <w:rsid w:val="F7D3C9EB"/>
    <w:rsid w:val="F7DFF0F5"/>
    <w:rsid w:val="F7E7840B"/>
    <w:rsid w:val="F7F731D1"/>
    <w:rsid w:val="F7FAB16E"/>
    <w:rsid w:val="F9BF200C"/>
    <w:rsid w:val="F9BFC88A"/>
    <w:rsid w:val="F9DEEED1"/>
    <w:rsid w:val="FA2FDCA8"/>
    <w:rsid w:val="FA9957DA"/>
    <w:rsid w:val="FABF03B6"/>
    <w:rsid w:val="FAE7CB92"/>
    <w:rsid w:val="FAFEA164"/>
    <w:rsid w:val="FAFF6372"/>
    <w:rsid w:val="FB2DF86D"/>
    <w:rsid w:val="FB5AB924"/>
    <w:rsid w:val="FB7E36B5"/>
    <w:rsid w:val="FBBF3C6E"/>
    <w:rsid w:val="FBD97104"/>
    <w:rsid w:val="FBDFDED2"/>
    <w:rsid w:val="FBEFF923"/>
    <w:rsid w:val="FBFB2979"/>
    <w:rsid w:val="FBFC1134"/>
    <w:rsid w:val="FBFFBF65"/>
    <w:rsid w:val="FD46D61B"/>
    <w:rsid w:val="FD7FBCB8"/>
    <w:rsid w:val="FDD73BDC"/>
    <w:rsid w:val="FDDF28E0"/>
    <w:rsid w:val="FDEAFDF0"/>
    <w:rsid w:val="FDED1D23"/>
    <w:rsid w:val="FDEED73B"/>
    <w:rsid w:val="FDF1157D"/>
    <w:rsid w:val="FDF257AA"/>
    <w:rsid w:val="FDF74BAE"/>
    <w:rsid w:val="FDFFF4D5"/>
    <w:rsid w:val="FE6F5412"/>
    <w:rsid w:val="FE8DD29B"/>
    <w:rsid w:val="FE8F96D7"/>
    <w:rsid w:val="FEEBEA62"/>
    <w:rsid w:val="FEEDE563"/>
    <w:rsid w:val="FEFBACD8"/>
    <w:rsid w:val="FEFCADD2"/>
    <w:rsid w:val="FEFD0BF8"/>
    <w:rsid w:val="FEFFD351"/>
    <w:rsid w:val="FF1FBAF8"/>
    <w:rsid w:val="FF3A3C93"/>
    <w:rsid w:val="FF3E6A9B"/>
    <w:rsid w:val="FF5FCACB"/>
    <w:rsid w:val="FF6FD72C"/>
    <w:rsid w:val="FF7D1DBA"/>
    <w:rsid w:val="FF7E2A89"/>
    <w:rsid w:val="FF80B4F3"/>
    <w:rsid w:val="FF9F9E57"/>
    <w:rsid w:val="FFB3C4F4"/>
    <w:rsid w:val="FFD6BF8C"/>
    <w:rsid w:val="FFD99874"/>
    <w:rsid w:val="FFDB1B57"/>
    <w:rsid w:val="FFDEA45C"/>
    <w:rsid w:val="FFDF3E43"/>
    <w:rsid w:val="FFDFD580"/>
    <w:rsid w:val="FFE7DC6E"/>
    <w:rsid w:val="FFF5BA15"/>
    <w:rsid w:val="FFF61094"/>
    <w:rsid w:val="FFFB9688"/>
    <w:rsid w:val="FFFE384A"/>
    <w:rsid w:val="FFFE416E"/>
    <w:rsid w:val="FFFF5C49"/>
    <w:rsid w:val="FFFF80BF"/>
    <w:rsid w:val="FFFFA62C"/>
    <w:rsid w:val="FFFFC2A0"/>
    <w:rsid w:val="FFFFE73D"/>
    <w:rsid w:val="00045BB1"/>
    <w:rsid w:val="000E356F"/>
    <w:rsid w:val="000F4075"/>
    <w:rsid w:val="001253EC"/>
    <w:rsid w:val="0014168D"/>
    <w:rsid w:val="00315A3F"/>
    <w:rsid w:val="00375669"/>
    <w:rsid w:val="00375D03"/>
    <w:rsid w:val="00442D99"/>
    <w:rsid w:val="00457A84"/>
    <w:rsid w:val="005A7782"/>
    <w:rsid w:val="006A6510"/>
    <w:rsid w:val="006A788A"/>
    <w:rsid w:val="006E6C06"/>
    <w:rsid w:val="00786F6C"/>
    <w:rsid w:val="00883F35"/>
    <w:rsid w:val="00914BC9"/>
    <w:rsid w:val="00A11006"/>
    <w:rsid w:val="00A15405"/>
    <w:rsid w:val="00A519FD"/>
    <w:rsid w:val="00A7651F"/>
    <w:rsid w:val="00A86A30"/>
    <w:rsid w:val="00B6069A"/>
    <w:rsid w:val="00B70A5C"/>
    <w:rsid w:val="00B72DAB"/>
    <w:rsid w:val="00BE1493"/>
    <w:rsid w:val="00BF737B"/>
    <w:rsid w:val="00C306E3"/>
    <w:rsid w:val="00C40D3A"/>
    <w:rsid w:val="00C76691"/>
    <w:rsid w:val="00CC4A06"/>
    <w:rsid w:val="00E16DDA"/>
    <w:rsid w:val="00E40265"/>
    <w:rsid w:val="00E549C1"/>
    <w:rsid w:val="00E63B7F"/>
    <w:rsid w:val="00F91F24"/>
    <w:rsid w:val="02B733E5"/>
    <w:rsid w:val="0AD25241"/>
    <w:rsid w:val="0ADB52C9"/>
    <w:rsid w:val="0BBFF0B5"/>
    <w:rsid w:val="0F865924"/>
    <w:rsid w:val="0FEBCC46"/>
    <w:rsid w:val="14253E06"/>
    <w:rsid w:val="19DF8F2E"/>
    <w:rsid w:val="1BA74C40"/>
    <w:rsid w:val="1BA7BEFE"/>
    <w:rsid w:val="1DB1B97A"/>
    <w:rsid w:val="1E68144E"/>
    <w:rsid w:val="1F3B9B71"/>
    <w:rsid w:val="1FDF8BD0"/>
    <w:rsid w:val="1FFEB399"/>
    <w:rsid w:val="20085EE1"/>
    <w:rsid w:val="263F0620"/>
    <w:rsid w:val="276B0089"/>
    <w:rsid w:val="27F7EAC8"/>
    <w:rsid w:val="2AF85A2B"/>
    <w:rsid w:val="2B91EC62"/>
    <w:rsid w:val="2CBFC85C"/>
    <w:rsid w:val="2E7F43D0"/>
    <w:rsid w:val="2EFA6E6E"/>
    <w:rsid w:val="2F3765EB"/>
    <w:rsid w:val="2FFDB81B"/>
    <w:rsid w:val="313196C0"/>
    <w:rsid w:val="32FFD214"/>
    <w:rsid w:val="35B75F46"/>
    <w:rsid w:val="35FF22ED"/>
    <w:rsid w:val="376B1984"/>
    <w:rsid w:val="37BD9E94"/>
    <w:rsid w:val="37EF83D1"/>
    <w:rsid w:val="3A865E53"/>
    <w:rsid w:val="3AAB0F01"/>
    <w:rsid w:val="3ABF995B"/>
    <w:rsid w:val="3BDFC7FF"/>
    <w:rsid w:val="3CDFCF94"/>
    <w:rsid w:val="3D4FD96F"/>
    <w:rsid w:val="3D973A3C"/>
    <w:rsid w:val="3DAED97F"/>
    <w:rsid w:val="3DF70803"/>
    <w:rsid w:val="3EED041D"/>
    <w:rsid w:val="3EFB12D8"/>
    <w:rsid w:val="3EFFF8AD"/>
    <w:rsid w:val="3F2EF52C"/>
    <w:rsid w:val="3F4AD247"/>
    <w:rsid w:val="3F530D0E"/>
    <w:rsid w:val="3F733E0E"/>
    <w:rsid w:val="3F870779"/>
    <w:rsid w:val="3F9F05E5"/>
    <w:rsid w:val="3F9F529A"/>
    <w:rsid w:val="3FB74EBC"/>
    <w:rsid w:val="3FEB6B10"/>
    <w:rsid w:val="3FEF45BB"/>
    <w:rsid w:val="3FFB539C"/>
    <w:rsid w:val="41FDED9E"/>
    <w:rsid w:val="43EE57A6"/>
    <w:rsid w:val="45BF2111"/>
    <w:rsid w:val="47771F17"/>
    <w:rsid w:val="47EF9D22"/>
    <w:rsid w:val="49771B4C"/>
    <w:rsid w:val="49FDDA8F"/>
    <w:rsid w:val="4C67C77E"/>
    <w:rsid w:val="4E7B20A0"/>
    <w:rsid w:val="4FC3FA33"/>
    <w:rsid w:val="4FEB36B3"/>
    <w:rsid w:val="4FFDC9E6"/>
    <w:rsid w:val="512C69E2"/>
    <w:rsid w:val="569FF3A5"/>
    <w:rsid w:val="56BF3FA7"/>
    <w:rsid w:val="57F5754A"/>
    <w:rsid w:val="57FE21CD"/>
    <w:rsid w:val="5AD779C4"/>
    <w:rsid w:val="5AEF9556"/>
    <w:rsid w:val="5AF15B90"/>
    <w:rsid w:val="5BDE66E1"/>
    <w:rsid w:val="5BE734AD"/>
    <w:rsid w:val="5C6FE2B7"/>
    <w:rsid w:val="5CF83B49"/>
    <w:rsid w:val="5DB6FD65"/>
    <w:rsid w:val="5DF7F9ED"/>
    <w:rsid w:val="5EDB96EA"/>
    <w:rsid w:val="5F9E3CE9"/>
    <w:rsid w:val="5F9F35C6"/>
    <w:rsid w:val="5FAE114E"/>
    <w:rsid w:val="5FBF4BD0"/>
    <w:rsid w:val="5FDFD354"/>
    <w:rsid w:val="5FE3B6C1"/>
    <w:rsid w:val="5FE4807F"/>
    <w:rsid w:val="5FFB61CA"/>
    <w:rsid w:val="5FFD7ED3"/>
    <w:rsid w:val="5FFE529B"/>
    <w:rsid w:val="60021F8F"/>
    <w:rsid w:val="60DBC1DA"/>
    <w:rsid w:val="64CE8EAE"/>
    <w:rsid w:val="6596CE8F"/>
    <w:rsid w:val="65D80DCE"/>
    <w:rsid w:val="65F9639B"/>
    <w:rsid w:val="65FF4793"/>
    <w:rsid w:val="6BF764D2"/>
    <w:rsid w:val="6BFF10AB"/>
    <w:rsid w:val="6CD5444D"/>
    <w:rsid w:val="6CE7ED07"/>
    <w:rsid w:val="6DFF3F8D"/>
    <w:rsid w:val="6DFF755A"/>
    <w:rsid w:val="6E5F7720"/>
    <w:rsid w:val="6EEF68E0"/>
    <w:rsid w:val="6EFE2947"/>
    <w:rsid w:val="6EFF039D"/>
    <w:rsid w:val="6F2F001C"/>
    <w:rsid w:val="6F491100"/>
    <w:rsid w:val="6F67BA9B"/>
    <w:rsid w:val="6F6FBDBA"/>
    <w:rsid w:val="6F79F100"/>
    <w:rsid w:val="6F7F41DA"/>
    <w:rsid w:val="6F897E37"/>
    <w:rsid w:val="6F9B40A8"/>
    <w:rsid w:val="6FE7D828"/>
    <w:rsid w:val="6FEB0A74"/>
    <w:rsid w:val="6FF7E3FE"/>
    <w:rsid w:val="6FFBE434"/>
    <w:rsid w:val="6FFEFA00"/>
    <w:rsid w:val="6FFF99B5"/>
    <w:rsid w:val="6FFFC6B2"/>
    <w:rsid w:val="72BDB28D"/>
    <w:rsid w:val="733F40BC"/>
    <w:rsid w:val="73BFE206"/>
    <w:rsid w:val="73D23FB4"/>
    <w:rsid w:val="746F5AD5"/>
    <w:rsid w:val="75FEB8C0"/>
    <w:rsid w:val="76F5E904"/>
    <w:rsid w:val="76F8325C"/>
    <w:rsid w:val="773B00E3"/>
    <w:rsid w:val="774FB01C"/>
    <w:rsid w:val="777726C0"/>
    <w:rsid w:val="77AB7A4C"/>
    <w:rsid w:val="77CF1708"/>
    <w:rsid w:val="77DFE234"/>
    <w:rsid w:val="77E9FE9E"/>
    <w:rsid w:val="77FFCBD2"/>
    <w:rsid w:val="792B2725"/>
    <w:rsid w:val="793F101F"/>
    <w:rsid w:val="79DFA03A"/>
    <w:rsid w:val="7A3B980C"/>
    <w:rsid w:val="7A7376EA"/>
    <w:rsid w:val="7AC7B2A9"/>
    <w:rsid w:val="7ADDFB39"/>
    <w:rsid w:val="7ADFC972"/>
    <w:rsid w:val="7AEF54E0"/>
    <w:rsid w:val="7B5FF064"/>
    <w:rsid w:val="7B6BF896"/>
    <w:rsid w:val="7BC760B1"/>
    <w:rsid w:val="7BEABDED"/>
    <w:rsid w:val="7BEBFFBA"/>
    <w:rsid w:val="7BEE4771"/>
    <w:rsid w:val="7BEFB5C4"/>
    <w:rsid w:val="7BFF1A07"/>
    <w:rsid w:val="7BFF930A"/>
    <w:rsid w:val="7C6BC2FB"/>
    <w:rsid w:val="7CB4C69D"/>
    <w:rsid w:val="7D793DE0"/>
    <w:rsid w:val="7D7ED1CF"/>
    <w:rsid w:val="7D7FD070"/>
    <w:rsid w:val="7DF36D5F"/>
    <w:rsid w:val="7E6F56CB"/>
    <w:rsid w:val="7E718B1E"/>
    <w:rsid w:val="7E7FEB49"/>
    <w:rsid w:val="7EDB9DD9"/>
    <w:rsid w:val="7EE5784A"/>
    <w:rsid w:val="7EEF6175"/>
    <w:rsid w:val="7EFB38D4"/>
    <w:rsid w:val="7EFF3C98"/>
    <w:rsid w:val="7EFF45C0"/>
    <w:rsid w:val="7EFFA17A"/>
    <w:rsid w:val="7F1F7D15"/>
    <w:rsid w:val="7F1FB3CF"/>
    <w:rsid w:val="7F2F7915"/>
    <w:rsid w:val="7F3F0967"/>
    <w:rsid w:val="7F3F2214"/>
    <w:rsid w:val="7F5723AD"/>
    <w:rsid w:val="7F5CD953"/>
    <w:rsid w:val="7F7A93D0"/>
    <w:rsid w:val="7F7B2CFF"/>
    <w:rsid w:val="7F7F0242"/>
    <w:rsid w:val="7F9BB5EF"/>
    <w:rsid w:val="7FBDD8BC"/>
    <w:rsid w:val="7FBFA671"/>
    <w:rsid w:val="7FC54C01"/>
    <w:rsid w:val="7FCE5F0C"/>
    <w:rsid w:val="7FDD8E49"/>
    <w:rsid w:val="7FEBDF98"/>
    <w:rsid w:val="7FEF123B"/>
    <w:rsid w:val="7FFD863D"/>
    <w:rsid w:val="7FFE92B7"/>
    <w:rsid w:val="7FFEB4A4"/>
    <w:rsid w:val="7FFF503F"/>
    <w:rsid w:val="7FFFE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D3D288-E7AF-47BA-8DE5-0D632D36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Normal Indent" w:qFormat="1"/>
    <w:lsdException w:name="annotation text"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snapToGrid w:val="0"/>
      <w:spacing w:line="360" w:lineRule="auto"/>
      <w:ind w:firstLineChars="200" w:firstLine="420"/>
      <w:jc w:val="both"/>
    </w:pPr>
    <w:rPr>
      <w:rFonts w:ascii="宋体" w:eastAsia="宋体" w:hAnsi="宋体" w:cs="宋体"/>
      <w:kern w:val="2"/>
      <w:sz w:val="24"/>
      <w:szCs w:val="24"/>
    </w:rPr>
  </w:style>
  <w:style w:type="paragraph" w:styleId="1">
    <w:name w:val="heading 1"/>
    <w:basedOn w:val="a0"/>
    <w:next w:val="a0"/>
    <w:link w:val="10"/>
    <w:qFormat/>
    <w:pPr>
      <w:keepNext/>
      <w:keepLines/>
      <w:numPr>
        <w:numId w:val="1"/>
      </w:numPr>
      <w:snapToGrid/>
      <w:ind w:firstLineChars="0" w:firstLine="0"/>
      <w:outlineLvl w:val="0"/>
    </w:pPr>
    <w:rPr>
      <w:rFonts w:ascii="Calibri" w:hAnsi="Calibri"/>
      <w:b/>
      <w:bCs/>
      <w:kern w:val="44"/>
      <w:sz w:val="52"/>
      <w:szCs w:val="44"/>
    </w:rPr>
  </w:style>
  <w:style w:type="paragraph" w:styleId="2">
    <w:name w:val="heading 2"/>
    <w:basedOn w:val="a0"/>
    <w:next w:val="a0"/>
    <w:link w:val="20"/>
    <w:unhideWhenUsed/>
    <w:qFormat/>
    <w:pPr>
      <w:keepNext/>
      <w:keepLines/>
      <w:numPr>
        <w:ilvl w:val="1"/>
        <w:numId w:val="1"/>
      </w:numPr>
      <w:snapToGrid/>
      <w:ind w:firstLineChars="0" w:firstLine="0"/>
      <w:jc w:val="left"/>
      <w:outlineLvl w:val="1"/>
    </w:pPr>
    <w:rPr>
      <w:rFonts w:ascii="Cambria" w:hAnsi="Cambria"/>
      <w:b/>
      <w:bCs/>
      <w:sz w:val="36"/>
      <w:szCs w:val="32"/>
    </w:rPr>
  </w:style>
  <w:style w:type="paragraph" w:styleId="3">
    <w:name w:val="heading 3"/>
    <w:basedOn w:val="a0"/>
    <w:next w:val="a0"/>
    <w:link w:val="30"/>
    <w:unhideWhenUsed/>
    <w:qFormat/>
    <w:pPr>
      <w:keepNext/>
      <w:keepLines/>
      <w:numPr>
        <w:ilvl w:val="2"/>
        <w:numId w:val="1"/>
      </w:numPr>
      <w:adjustRightInd/>
      <w:snapToGrid/>
      <w:ind w:firstLineChars="0" w:firstLine="0"/>
      <w:jc w:val="left"/>
      <w:outlineLvl w:val="2"/>
    </w:pPr>
    <w:rPr>
      <w:b/>
      <w:kern w:val="28"/>
      <w:sz w:val="32"/>
      <w:szCs w:val="32"/>
    </w:rPr>
  </w:style>
  <w:style w:type="paragraph" w:styleId="4">
    <w:name w:val="heading 4"/>
    <w:basedOn w:val="a0"/>
    <w:next w:val="a0"/>
    <w:link w:val="41"/>
    <w:unhideWhenUsed/>
    <w:qFormat/>
    <w:pPr>
      <w:keepNext/>
      <w:keepLines/>
      <w:numPr>
        <w:ilvl w:val="3"/>
        <w:numId w:val="1"/>
      </w:numPr>
      <w:adjustRightInd/>
      <w:snapToGrid/>
      <w:ind w:firstLineChars="0" w:firstLine="0"/>
      <w:outlineLvl w:val="3"/>
    </w:pPr>
    <w:rPr>
      <w:b/>
      <w:bCs/>
      <w:sz w:val="30"/>
      <w:szCs w:val="28"/>
    </w:rPr>
  </w:style>
  <w:style w:type="paragraph" w:styleId="5">
    <w:name w:val="heading 5"/>
    <w:basedOn w:val="a0"/>
    <w:next w:val="a0"/>
    <w:unhideWhenUsed/>
    <w:qFormat/>
    <w:pPr>
      <w:keepNext/>
      <w:keepLines/>
      <w:numPr>
        <w:ilvl w:val="4"/>
        <w:numId w:val="1"/>
      </w:numPr>
      <w:tabs>
        <w:tab w:val="left" w:pos="0"/>
      </w:tabs>
      <w:adjustRightInd/>
      <w:snapToGrid/>
      <w:ind w:firstLineChars="0" w:firstLine="0"/>
      <w:outlineLvl w:val="4"/>
    </w:pPr>
    <w:rPr>
      <w:b/>
    </w:rPr>
  </w:style>
  <w:style w:type="paragraph" w:styleId="6">
    <w:name w:val="heading 6"/>
    <w:basedOn w:val="a0"/>
    <w:next w:val="a0"/>
    <w:unhideWhenUsed/>
    <w:qFormat/>
    <w:pPr>
      <w:keepNext/>
      <w:keepLines/>
      <w:numPr>
        <w:ilvl w:val="5"/>
        <w:numId w:val="1"/>
      </w:numPr>
      <w:adjustRightInd/>
      <w:snapToGrid/>
      <w:ind w:firstLineChars="0" w:firstLine="0"/>
      <w:outlineLvl w:val="5"/>
    </w:pPr>
    <w:rPr>
      <w:b/>
    </w:rPr>
  </w:style>
  <w:style w:type="paragraph" w:styleId="7">
    <w:name w:val="heading 7"/>
    <w:basedOn w:val="a0"/>
    <w:next w:val="a0"/>
    <w:unhideWhenUsed/>
    <w:qFormat/>
    <w:pPr>
      <w:keepNext/>
      <w:keepLines/>
      <w:numPr>
        <w:ilvl w:val="6"/>
        <w:numId w:val="1"/>
      </w:numPr>
      <w:adjustRightInd/>
      <w:snapToGrid/>
      <w:ind w:firstLineChars="0" w:firstLine="0"/>
      <w:outlineLvl w:val="6"/>
    </w:pPr>
    <w:rPr>
      <w:b/>
    </w:rPr>
  </w:style>
  <w:style w:type="paragraph" w:styleId="8">
    <w:name w:val="heading 8"/>
    <w:basedOn w:val="a0"/>
    <w:next w:val="a0"/>
    <w:unhideWhenUsed/>
    <w:qFormat/>
    <w:pPr>
      <w:keepNext/>
      <w:keepLines/>
      <w:numPr>
        <w:ilvl w:val="7"/>
        <w:numId w:val="1"/>
      </w:numPr>
      <w:adjustRightInd/>
      <w:snapToGrid/>
      <w:ind w:firstLineChars="0" w:firstLine="0"/>
      <w:outlineLvl w:val="7"/>
    </w:pPr>
  </w:style>
  <w:style w:type="paragraph" w:styleId="9">
    <w:name w:val="heading 9"/>
    <w:basedOn w:val="a0"/>
    <w:next w:val="a0"/>
    <w:unhideWhenUsed/>
    <w:qFormat/>
    <w:pPr>
      <w:keepNext/>
      <w:keepLines/>
      <w:numPr>
        <w:ilvl w:val="8"/>
        <w:numId w:val="1"/>
      </w:numPr>
      <w:adjustRightInd/>
      <w:snapToGrid/>
      <w:ind w:firstLineChars="0" w:firstLine="0"/>
      <w:outlineLvl w:val="8"/>
    </w:pPr>
    <w:rPr>
      <w:rFonts w:ascii="DejaVu Sans" w:hAnsi="DejaVu San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640"/>
    </w:pPr>
  </w:style>
  <w:style w:type="paragraph" w:styleId="a6">
    <w:name w:val="annotation text"/>
    <w:basedOn w:val="a0"/>
    <w:qFormat/>
  </w:style>
  <w:style w:type="paragraph" w:styleId="a7">
    <w:name w:val="Body Text"/>
    <w:basedOn w:val="a0"/>
    <w:qFormat/>
    <w:pPr>
      <w:ind w:firstLine="881"/>
    </w:pPr>
    <w:rPr>
      <w:rFonts w:ascii="Times New Roman" w:hAnsi="Times New Roman" w:cs="Times New Roman"/>
    </w:rPr>
  </w:style>
  <w:style w:type="paragraph" w:styleId="a8">
    <w:name w:val="Normal (Web)"/>
    <w:basedOn w:val="a0"/>
    <w:uiPriority w:val="99"/>
    <w:unhideWhenUsed/>
    <w:qFormat/>
  </w:style>
  <w:style w:type="paragraph" w:styleId="a9">
    <w:name w:val="Body Text First Indent"/>
    <w:basedOn w:val="a7"/>
    <w:qFormat/>
    <w:pPr>
      <w:tabs>
        <w:tab w:val="left" w:pos="567"/>
      </w:tabs>
      <w:ind w:firstLine="561"/>
    </w:pPr>
  </w:style>
  <w:style w:type="paragraph" w:styleId="21">
    <w:name w:val="Body Text First Indent 2"/>
    <w:basedOn w:val="a0"/>
    <w:next w:val="a0"/>
    <w:qFormat/>
    <w:rPr>
      <w:rFonts w:ascii="Times New Roman" w:hAnsi="Times New Roman" w:cs="Times New Roman"/>
    </w:rPr>
  </w:style>
  <w:style w:type="table" w:styleId="aa">
    <w:name w:val="Table Grid"/>
    <w:basedOn w:val="a2"/>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标题4"/>
    <w:basedOn w:val="4"/>
    <w:qFormat/>
    <w:pPr>
      <w:numPr>
        <w:ilvl w:val="0"/>
        <w:numId w:val="2"/>
      </w:numPr>
      <w:tabs>
        <w:tab w:val="left" w:pos="0"/>
      </w:tabs>
    </w:pPr>
    <w:rPr>
      <w:rFonts w:eastAsia="Kaiti SC"/>
    </w:rPr>
  </w:style>
  <w:style w:type="character" w:customStyle="1" w:styleId="10">
    <w:name w:val="标题 1 字符"/>
    <w:basedOn w:val="a1"/>
    <w:link w:val="1"/>
    <w:uiPriority w:val="9"/>
    <w:qFormat/>
    <w:rPr>
      <w:rFonts w:ascii="Calibri" w:eastAsia="汉仪书宋二KW" w:hAnsi="Calibri" w:cs="宋体"/>
      <w:b/>
      <w:bCs/>
      <w:kern w:val="44"/>
      <w:sz w:val="52"/>
      <w:szCs w:val="44"/>
    </w:rPr>
  </w:style>
  <w:style w:type="character" w:customStyle="1" w:styleId="20">
    <w:name w:val="标题 2 字符"/>
    <w:basedOn w:val="a1"/>
    <w:link w:val="2"/>
    <w:uiPriority w:val="9"/>
    <w:qFormat/>
    <w:rPr>
      <w:rFonts w:ascii="Cambria" w:eastAsia="宋体" w:hAnsi="Cambria" w:cs="宋体"/>
      <w:b/>
      <w:bCs/>
      <w:sz w:val="36"/>
      <w:szCs w:val="32"/>
    </w:rPr>
  </w:style>
  <w:style w:type="character" w:customStyle="1" w:styleId="30">
    <w:name w:val="标题 3 字符"/>
    <w:basedOn w:val="a1"/>
    <w:link w:val="3"/>
    <w:qFormat/>
    <w:rPr>
      <w:rFonts w:ascii="汉仪书宋二KW" w:eastAsia="汉仪书宋二KW" w:hAnsi="汉仪书宋二KW" w:cs="宋体"/>
      <w:b/>
      <w:bCs/>
      <w:sz w:val="32"/>
      <w:szCs w:val="32"/>
    </w:rPr>
  </w:style>
  <w:style w:type="character" w:customStyle="1" w:styleId="a5">
    <w:name w:val="正文缩进 字符"/>
    <w:link w:val="a4"/>
    <w:qFormat/>
    <w:locked/>
    <w:rPr>
      <w:rFonts w:ascii="宋体" w:eastAsia="宋体" w:hAnsi="宋体" w:cs="宋体"/>
      <w:kern w:val="2"/>
      <w:sz w:val="24"/>
      <w:szCs w:val="22"/>
    </w:rPr>
  </w:style>
  <w:style w:type="paragraph" w:customStyle="1" w:styleId="11">
    <w:name w:val="列出段落1"/>
    <w:basedOn w:val="a0"/>
    <w:uiPriority w:val="34"/>
    <w:qFormat/>
    <w:rPr>
      <w:rFonts w:ascii="Calibri" w:hAnsi="Calibri" w:cs="Times New Roman"/>
      <w:sz w:val="21"/>
      <w:szCs w:val="22"/>
    </w:rPr>
  </w:style>
  <w:style w:type="paragraph" w:customStyle="1" w:styleId="Style6">
    <w:name w:val="_Style 6"/>
    <w:basedOn w:val="a0"/>
    <w:next w:val="a0"/>
    <w:uiPriority w:val="34"/>
    <w:qFormat/>
    <w:rPr>
      <w:rFonts w:ascii="Calibri" w:hAnsi="Calibri"/>
    </w:rPr>
  </w:style>
  <w:style w:type="character" w:customStyle="1" w:styleId="41">
    <w:name w:val="标题 4 字符"/>
    <w:basedOn w:val="a1"/>
    <w:link w:val="4"/>
    <w:uiPriority w:val="9"/>
    <w:qFormat/>
    <w:rPr>
      <w:rFonts w:ascii="汉仪书宋二KW" w:eastAsia="汉仪书宋二KW" w:hAnsi="汉仪书宋二KW" w:cs="宋体"/>
      <w:b/>
      <w:bCs/>
      <w:sz w:val="30"/>
      <w:szCs w:val="28"/>
    </w:rPr>
  </w:style>
  <w:style w:type="paragraph" w:customStyle="1" w:styleId="ab">
    <w:name w:val="正文首行缩进（绿盟科技）"/>
    <w:basedOn w:val="a0"/>
    <w:qFormat/>
    <w:pPr>
      <w:spacing w:after="50"/>
      <w:ind w:firstLine="200"/>
    </w:pPr>
    <w:rPr>
      <w:rFonts w:ascii="Arial" w:hAnsi="Arial" w:cs="Times New Roman"/>
      <w:szCs w:val="21"/>
    </w:rPr>
  </w:style>
  <w:style w:type="paragraph" w:customStyle="1" w:styleId="a">
    <w:name w:val="列表（符号一级）（绿盟科技）"/>
    <w:basedOn w:val="a0"/>
    <w:qFormat/>
    <w:pPr>
      <w:numPr>
        <w:numId w:val="3"/>
      </w:numPr>
    </w:pPr>
    <w:rPr>
      <w:rFonts w:ascii="Arial" w:hAnsi="Arial" w:cs="Times New Roman"/>
      <w:szCs w:val="21"/>
    </w:rPr>
  </w:style>
  <w:style w:type="table" w:customStyle="1" w:styleId="12">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rsid w:val="006E6C06"/>
    <w:pPr>
      <w:pBdr>
        <w:bottom w:val="single" w:sz="6" w:space="1" w:color="auto"/>
      </w:pBdr>
      <w:tabs>
        <w:tab w:val="center" w:pos="4153"/>
        <w:tab w:val="right" w:pos="8306"/>
      </w:tabs>
      <w:spacing w:line="240" w:lineRule="auto"/>
      <w:jc w:val="center"/>
    </w:pPr>
    <w:rPr>
      <w:sz w:val="18"/>
      <w:szCs w:val="18"/>
    </w:rPr>
  </w:style>
  <w:style w:type="character" w:customStyle="1" w:styleId="ad">
    <w:name w:val="页眉 字符"/>
    <w:basedOn w:val="a1"/>
    <w:link w:val="ac"/>
    <w:rsid w:val="006E6C06"/>
    <w:rPr>
      <w:rFonts w:ascii="宋体" w:eastAsia="宋体" w:hAnsi="宋体" w:cs="宋体"/>
      <w:kern w:val="2"/>
      <w:sz w:val="18"/>
      <w:szCs w:val="18"/>
    </w:rPr>
  </w:style>
  <w:style w:type="paragraph" w:styleId="ae">
    <w:name w:val="footer"/>
    <w:basedOn w:val="a0"/>
    <w:link w:val="af"/>
    <w:rsid w:val="006E6C06"/>
    <w:pPr>
      <w:tabs>
        <w:tab w:val="center" w:pos="4153"/>
        <w:tab w:val="right" w:pos="8306"/>
      </w:tabs>
      <w:spacing w:line="240" w:lineRule="auto"/>
      <w:jc w:val="left"/>
    </w:pPr>
    <w:rPr>
      <w:sz w:val="18"/>
      <w:szCs w:val="18"/>
    </w:rPr>
  </w:style>
  <w:style w:type="character" w:customStyle="1" w:styleId="af">
    <w:name w:val="页脚 字符"/>
    <w:basedOn w:val="a1"/>
    <w:link w:val="ae"/>
    <w:rsid w:val="006E6C06"/>
    <w:rPr>
      <w:rFonts w:ascii="宋体" w:eastAsia="宋体" w:hAnsi="宋体" w:cs="宋体"/>
      <w:kern w:val="2"/>
      <w:sz w:val="18"/>
      <w:szCs w:val="18"/>
    </w:rPr>
  </w:style>
  <w:style w:type="paragraph" w:styleId="af0">
    <w:name w:val="Balloon Text"/>
    <w:basedOn w:val="a0"/>
    <w:link w:val="af1"/>
    <w:rsid w:val="00C40D3A"/>
    <w:pPr>
      <w:spacing w:line="240" w:lineRule="auto"/>
    </w:pPr>
    <w:rPr>
      <w:sz w:val="18"/>
      <w:szCs w:val="18"/>
    </w:rPr>
  </w:style>
  <w:style w:type="character" w:customStyle="1" w:styleId="af1">
    <w:name w:val="批注框文本 字符"/>
    <w:basedOn w:val="a1"/>
    <w:link w:val="af0"/>
    <w:rsid w:val="00C40D3A"/>
    <w:rPr>
      <w:rFonts w:ascii="宋体" w:eastAsia="宋体"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5BCAD-B149-4165-B94B-59DD526B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less is more</dc:creator>
  <cp:lastModifiedBy>X</cp:lastModifiedBy>
  <cp:revision>26</cp:revision>
  <cp:lastPrinted>2025-12-29T00:41:00Z</cp:lastPrinted>
  <dcterms:created xsi:type="dcterms:W3CDTF">2025-11-24T14:41:00Z</dcterms:created>
  <dcterms:modified xsi:type="dcterms:W3CDTF">2026-01-08T02:29:00Z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A906DF8A600D447D951E23B537C29513_13</vt:lpwstr>
  </property>
  <property fmtid="{D5CDD505-2E9C-101B-9397-08002B2CF9AE}" pid="4" name="KSOTemplateDocerSaveRecord">
    <vt:lpwstr>eyJoZGlkIjoiNjQ3ZDA0MTAyYjgyMDY1OTZmOWMwZTMyY2EyYWE5NDAiLCJ1c2VySWQiOiIzMTI4OTUzMTQifQ==</vt:lpwstr>
  </property>
</Properties>
</file>