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E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我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院互联网医院新系统切换并计划进行三级等保备案，三级等保（信息安全等级保护）备案是根据国家相关法律法规和标准，对信息系统进行安全保护等级划分，并采取相应的管理和技术措施，以确保信息系统的机密性、完整性和可用性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按照北京市卫健</w:t>
      </w:r>
      <w:bookmarkStart w:id="0" w:name="_GoBack"/>
      <w:bookmarkEnd w:id="0"/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委及公安局的相关要求，完成三级等保备案需要确保医院的信息系统达到相应的安全标准。这一过程中，涉及对医院信息系统的安全漏洞、风险进行评估，并制定相应的安全策略和措施。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为了确保测评的准确性和客观性，需要委托具有专业资质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val="en-US" w:eastAsia="zh-CN"/>
        </w:rPr>
        <w:t>见评分表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  <w:lang w:eastAsia="zh-CN"/>
        </w:rPr>
        <w:t>）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的厂商来完成这一任务。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针对厂商要求：</w:t>
      </w:r>
    </w:p>
    <w:p>
      <w:pPr>
        <w:widowControl/>
        <w:shd w:val="clear" w:color="auto" w:fill="FDFDFE"/>
        <w:spacing w:before="21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1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.确认厂商是否具备相关的信息安全资质和认证，例如信息安全服务资质等。</w:t>
      </w:r>
    </w:p>
    <w:p>
      <w:pPr>
        <w:widowControl/>
        <w:shd w:val="clear" w:color="auto" w:fill="FDFDFE"/>
        <w:spacing w:before="9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2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.了解厂商在信息安全领域的经验和案例，特别是在医疗行业的信息安全方面的经验。</w:t>
      </w: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（符合北京市政策和标准）</w:t>
      </w:r>
    </w:p>
    <w:p>
      <w:pPr>
        <w:widowControl/>
        <w:shd w:val="clear" w:color="auto" w:fill="FDFDFE"/>
        <w:spacing w:before="90"/>
        <w:ind w:firstLine="600" w:firstLineChars="200"/>
        <w:jc w:val="left"/>
        <w:rPr>
          <w:rFonts w:ascii="华文仿宋" w:hAnsi="华文仿宋" w:eastAsia="华文仿宋" w:cs="Segoe UI"/>
          <w:color w:val="05073B"/>
          <w:kern w:val="0"/>
          <w:sz w:val="30"/>
          <w:szCs w:val="30"/>
        </w:rPr>
      </w:pPr>
      <w:r>
        <w:rPr>
          <w:rFonts w:hint="eastAsia" w:ascii="华文仿宋" w:hAnsi="华文仿宋" w:eastAsia="华文仿宋" w:cs="Segoe UI"/>
          <w:color w:val="05073B"/>
          <w:kern w:val="0"/>
          <w:sz w:val="30"/>
          <w:szCs w:val="30"/>
        </w:rPr>
        <w:t>3</w:t>
      </w:r>
      <w:r>
        <w:rPr>
          <w:rFonts w:ascii="华文仿宋" w:hAnsi="华文仿宋" w:eastAsia="华文仿宋" w:cs="Segoe UI"/>
          <w:color w:val="05073B"/>
          <w:kern w:val="0"/>
          <w:sz w:val="30"/>
          <w:szCs w:val="30"/>
        </w:rPr>
        <w:t>.比较不同厂商的服务内容和质量，选择能够提供全面、细致服务的厂商。</w:t>
      </w:r>
    </w:p>
    <w:p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EB26E6"/>
    <w:rsid w:val="00454E86"/>
    <w:rsid w:val="00CA0F65"/>
    <w:rsid w:val="00EB26E6"/>
    <w:rsid w:val="00F26400"/>
    <w:rsid w:val="1AC84821"/>
    <w:rsid w:val="702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30</TotalTime>
  <ScaleCrop>false</ScaleCrop>
  <LinksUpToDate>false</LinksUpToDate>
  <CharactersWithSpaces>364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2024-04-25T05:17:00Z</dcterms:created>
  <dc:creator>YQ</dc:creator>
  <cp:lastModifiedBy>々明</cp:lastModifiedBy>
  <dcterms:modified xsi:type="dcterms:W3CDTF">2025-04-14T02:29:44Z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4F3069BF8A61459B997E17FA9A6FF37D</vt:lpwstr>
  </property>
</Properties>
</file>