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9E62E5" w:rsidRPr="009E62E5" w:rsidRDefault="009E62E5">
            <w:pPr>
              <w:widowControl/>
              <w:jc w:val="center"/>
              <w:textAlignment w:val="center"/>
              <w:rPr>
                <w:rFonts w:ascii="宋体" w:eastAsia="宋体" w:hAnsi="宋体" w:cs="宋体"/>
                <w:b/>
                <w:bCs/>
                <w:color w:val="000000"/>
                <w:kern w:val="0"/>
                <w:sz w:val="40"/>
                <w:szCs w:val="40"/>
                <w:lang w:bidi="ar"/>
              </w:rPr>
            </w:pPr>
            <w:r w:rsidRPr="009E62E5">
              <w:rPr>
                <w:rFonts w:ascii="宋体" w:eastAsia="宋体" w:hAnsi="宋体" w:cs="宋体" w:hint="eastAsia"/>
                <w:b/>
                <w:bCs/>
                <w:color w:val="000000"/>
                <w:kern w:val="0"/>
                <w:sz w:val="40"/>
                <w:szCs w:val="40"/>
                <w:lang w:bidi="ar"/>
              </w:rPr>
              <w:t>北京胸科医院开办费医用设备购置项目（第二批）</w:t>
            </w:r>
          </w:p>
          <w:p w:rsidR="004716F2" w:rsidRDefault="00435631">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lang w:bidi="ar"/>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序号</w:t>
            </w:r>
            <w:r>
              <w:rPr>
                <w:rFonts w:ascii="宋体" w:eastAsia="宋体" w:hAnsi="宋体" w:cs="宋体" w:hint="eastAsia"/>
                <w:color w:val="000000"/>
                <w:sz w:val="24"/>
              </w:rPr>
              <w:t>+设备名称</w:t>
            </w: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Pr>
                <w:rFonts w:ascii="宋体" w:eastAsia="宋体" w:hAnsi="宋体" w:cs="宋体" w:hint="eastAsia"/>
                <w:color w:val="000000"/>
                <w:sz w:val="24"/>
              </w:rPr>
              <w:t>5年</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设备能否接入医院电子信息系统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例如设备能否接入医院HIS、LIS、PACS、手麻系统等接口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hint="eastAsia"/>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bookmarkStart w:id="0" w:name="_GoBack"/>
            <w:bookmarkEnd w:id="0"/>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50B" w:rsidRDefault="0094050B">
      <w:r>
        <w:separator/>
      </w:r>
    </w:p>
  </w:endnote>
  <w:endnote w:type="continuationSeparator" w:id="0">
    <w:p w:rsidR="0094050B" w:rsidRDefault="0094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3F23F4">
                            <w:rPr>
                              <w:noProof/>
                              <w:sz w:val="40"/>
                              <w:szCs w:val="40"/>
                            </w:rPr>
                            <w:t>4</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3F23F4">
                      <w:rPr>
                        <w:noProof/>
                        <w:sz w:val="40"/>
                        <w:szCs w:val="40"/>
                      </w:rPr>
                      <w:t>4</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50B" w:rsidRDefault="0094050B">
      <w:r>
        <w:separator/>
      </w:r>
    </w:p>
  </w:footnote>
  <w:footnote w:type="continuationSeparator" w:id="0">
    <w:p w:rsidR="0094050B" w:rsidRDefault="00940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948"/>
    <w:rsid w:val="001A7F8E"/>
    <w:rsid w:val="0026316B"/>
    <w:rsid w:val="00272DA2"/>
    <w:rsid w:val="00276BFA"/>
    <w:rsid w:val="002804A6"/>
    <w:rsid w:val="002B6AF3"/>
    <w:rsid w:val="002F2DA0"/>
    <w:rsid w:val="003112DC"/>
    <w:rsid w:val="0031449A"/>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50B32"/>
    <w:rsid w:val="007821BB"/>
    <w:rsid w:val="007E20D1"/>
    <w:rsid w:val="008C179A"/>
    <w:rsid w:val="008D51C6"/>
    <w:rsid w:val="0094050B"/>
    <w:rsid w:val="009508D6"/>
    <w:rsid w:val="00987DE8"/>
    <w:rsid w:val="009E62E5"/>
    <w:rsid w:val="00A04DA6"/>
    <w:rsid w:val="00A16EFF"/>
    <w:rsid w:val="00A54A1B"/>
    <w:rsid w:val="00A81F6D"/>
    <w:rsid w:val="00A84759"/>
    <w:rsid w:val="00A85B31"/>
    <w:rsid w:val="00AA7FDE"/>
    <w:rsid w:val="00AC5CD0"/>
    <w:rsid w:val="00B5363D"/>
    <w:rsid w:val="00BD6498"/>
    <w:rsid w:val="00CB5E2E"/>
    <w:rsid w:val="00CE6F92"/>
    <w:rsid w:val="00CF2DA7"/>
    <w:rsid w:val="00D97556"/>
    <w:rsid w:val="00E04A92"/>
    <w:rsid w:val="00E5453D"/>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125</Words>
  <Characters>718</Characters>
  <Application>Microsoft Office Word</Application>
  <DocSecurity>0</DocSecurity>
  <Lines>5</Lines>
  <Paragraphs>1</Paragraphs>
  <ScaleCrop>false</ScaleCrop>
  <Company>HP Inc.</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33</cp:revision>
  <dcterms:created xsi:type="dcterms:W3CDTF">2022-03-16T11:00:00Z</dcterms:created>
  <dcterms:modified xsi:type="dcterms:W3CDTF">2025-02-19T06:53:00Z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