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4A27">
      <w:pPr>
        <w:ind w:firstLine="420" w:firstLineChars="200"/>
      </w:pPr>
    </w:p>
    <w:p w14:paraId="21F4BEE3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bookmarkStart w:id="1" w:name="_GoBack"/>
      <w:bookmarkEnd w:id="1"/>
      <w:r>
        <w:rPr>
          <w:rFonts w:hint="eastAsia"/>
        </w:rPr>
        <w:t>全自动医用PCR分析系统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数量：1台</w:t>
      </w:r>
      <w:r>
        <w:rPr>
          <w:rFonts w:hint="eastAsia"/>
          <w:lang w:val="en-US" w:eastAsia="zh-CN"/>
        </w:rPr>
        <w:t xml:space="preserve"> </w:t>
      </w:r>
    </w:p>
    <w:p w14:paraId="7DF3CBEB">
      <w:pPr>
        <w:ind w:firstLine="420" w:firstLineChars="200"/>
      </w:pPr>
    </w:p>
    <w:p w14:paraId="68CAA8EE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</w:t>
      </w:r>
      <w:bookmarkStart w:id="0" w:name="_Hlk184712334"/>
      <w:r>
        <w:rPr>
          <w:rFonts w:hint="eastAsia"/>
          <w:color w:val="FF0000"/>
        </w:rPr>
        <w:t>具体要求：</w:t>
      </w:r>
      <w:bookmarkEnd w:id="0"/>
    </w:p>
    <w:p w14:paraId="329E7A8C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1、样本通量：≥4样本/次</w:t>
      </w:r>
    </w:p>
    <w:p w14:paraId="04D02701">
      <w:pPr>
        <w:ind w:firstLine="1274" w:firstLineChars="607"/>
        <w:rPr>
          <w:rFonts w:hint="eastAsia"/>
        </w:rPr>
      </w:pPr>
      <w:r>
        <w:rPr>
          <w:rFonts w:hint="eastAsia"/>
        </w:rPr>
        <w:t>2、液体样本加样体积：1µL~2000µL</w:t>
      </w:r>
    </w:p>
    <w:p w14:paraId="4074F22F">
      <w:pPr>
        <w:ind w:firstLine="1274" w:firstLineChars="607"/>
        <w:rPr>
          <w:rFonts w:hint="eastAsia"/>
        </w:rPr>
      </w:pPr>
      <w:r>
        <w:rPr>
          <w:rFonts w:hint="eastAsia"/>
        </w:rPr>
        <w:t>3、移液准确度：≤4%（25µL）</w:t>
      </w:r>
    </w:p>
    <w:p w14:paraId="617BBDFA">
      <w:pPr>
        <w:ind w:firstLine="1274" w:firstLineChars="607"/>
        <w:rPr>
          <w:rFonts w:hint="eastAsia"/>
        </w:rPr>
      </w:pPr>
      <w:r>
        <w:rPr>
          <w:rFonts w:hint="eastAsia"/>
        </w:rPr>
        <w:t>4、核酸提取方法：磁珠法</w:t>
      </w:r>
    </w:p>
    <w:p w14:paraId="633415E8">
      <w:pPr>
        <w:ind w:firstLine="1274" w:firstLineChars="607"/>
        <w:rPr>
          <w:rFonts w:hint="eastAsia"/>
        </w:rPr>
      </w:pPr>
      <w:r>
        <w:rPr>
          <w:rFonts w:hint="eastAsia"/>
        </w:rPr>
        <w:t>5、升温速率：≥5.0℃/s</w:t>
      </w:r>
    </w:p>
    <w:p w14:paraId="6039494F">
      <w:pPr>
        <w:ind w:firstLine="1274" w:firstLineChars="607"/>
        <w:rPr>
          <w:rFonts w:hint="eastAsia"/>
        </w:rPr>
      </w:pPr>
      <w:r>
        <w:rPr>
          <w:rFonts w:hint="eastAsia"/>
        </w:rPr>
        <w:t>6、降温速率：≥3.5℃/s</w:t>
      </w:r>
    </w:p>
    <w:p w14:paraId="6EEA4057">
      <w:pPr>
        <w:ind w:firstLine="1274" w:firstLineChars="607"/>
        <w:rPr>
          <w:rFonts w:hint="eastAsia"/>
        </w:rPr>
      </w:pPr>
      <w:r>
        <w:rPr>
          <w:rFonts w:hint="eastAsia"/>
        </w:rPr>
        <w:t>7、检测反应孔数：24孔</w:t>
      </w:r>
    </w:p>
    <w:p w14:paraId="1848BA31">
      <w:pPr>
        <w:ind w:firstLine="1274" w:firstLineChars="607"/>
        <w:rPr>
          <w:rFonts w:hint="eastAsia"/>
        </w:rPr>
      </w:pPr>
      <w:r>
        <w:rPr>
          <w:rFonts w:hint="eastAsia"/>
        </w:rPr>
        <w:t>8、温度精度：≤0.1℃，可做HRM高分辨熔解曲线</w:t>
      </w:r>
    </w:p>
    <w:p w14:paraId="391BB3FB">
      <w:pPr>
        <w:ind w:firstLine="1274" w:firstLineChars="607"/>
        <w:rPr>
          <w:rFonts w:hint="eastAsia"/>
        </w:rPr>
      </w:pPr>
      <w:r>
        <w:rPr>
          <w:rFonts w:hint="eastAsia"/>
        </w:rPr>
        <w:t>9、孔间温度均匀度：±0.1℃</w:t>
      </w:r>
    </w:p>
    <w:p w14:paraId="76D47747">
      <w:pPr>
        <w:ind w:firstLine="1274" w:firstLineChars="607"/>
        <w:rPr>
          <w:rFonts w:hint="eastAsia"/>
        </w:rPr>
      </w:pPr>
      <w:r>
        <w:rPr>
          <w:rFonts w:hint="eastAsia"/>
        </w:rPr>
        <w:t>10、检测通道：≥4通道</w:t>
      </w:r>
    </w:p>
    <w:p w14:paraId="4FF0C97D">
      <w:pPr>
        <w:ind w:firstLine="1274" w:firstLineChars="607"/>
        <w:rPr>
          <w:rFonts w:hint="eastAsia"/>
        </w:rPr>
      </w:pPr>
      <w:r>
        <w:rPr>
          <w:rFonts w:hint="eastAsia"/>
        </w:rPr>
        <w:t>11、检测系统检测波长：470-665nm</w:t>
      </w:r>
    </w:p>
    <w:p w14:paraId="636EB36C">
      <w:pPr>
        <w:ind w:left="1905" w:leftChars="607" w:hanging="630" w:hangingChars="300"/>
        <w:rPr>
          <w:rFonts w:hint="eastAsia"/>
        </w:rPr>
      </w:pPr>
      <w:r>
        <w:rPr>
          <w:rFonts w:hint="eastAsia"/>
        </w:rPr>
        <w:t>12、适用探针/染料：FAM/SYBRGreen、VIC/HEX/JOE/TET/、TAMRA/Cy3、ROX/TexasRedCY5</w:t>
      </w:r>
    </w:p>
    <w:p w14:paraId="28E62F78">
      <w:pPr>
        <w:ind w:firstLine="1274" w:firstLineChars="607"/>
        <w:rPr>
          <w:rFonts w:hint="eastAsia"/>
        </w:rPr>
      </w:pPr>
      <w:r>
        <w:rPr>
          <w:rFonts w:hint="eastAsia"/>
        </w:rPr>
        <w:t>13、消毒功能：可计时门控紫外消毒</w:t>
      </w:r>
    </w:p>
    <w:p w14:paraId="79F7B8B3">
      <w:pPr>
        <w:ind w:firstLine="1274" w:firstLineChars="607"/>
      </w:pPr>
      <w:r>
        <w:rPr>
          <w:rFonts w:hint="eastAsia"/>
        </w:rPr>
        <w:t>14、控制方式：触摸屏控制，支持外接电脑控制</w:t>
      </w:r>
    </w:p>
    <w:p w14:paraId="62835A54">
      <w:pPr>
        <w:numPr>
          <w:ilvl w:val="0"/>
          <w:numId w:val="0"/>
        </w:numPr>
        <w:bidi w:val="0"/>
        <w:jc w:val="left"/>
        <w:rPr>
          <w:rFonts w:hint="eastAsia" w:ascii="宋体" w:hAnsi="宋体" w:cs="宋体"/>
          <w:color w:val="000000"/>
          <w:sz w:val="20"/>
          <w:szCs w:val="20"/>
        </w:rPr>
      </w:pPr>
    </w:p>
    <w:p w14:paraId="24BF94D5">
      <w:pPr>
        <w:numPr>
          <w:ilvl w:val="0"/>
          <w:numId w:val="0"/>
        </w:numPr>
        <w:bidi w:val="0"/>
        <w:ind w:left="420" w:leftChars="0"/>
        <w:jc w:val="left"/>
        <w:rPr>
          <w:rFonts w:hint="default" w:ascii="宋体" w:hAnsi="宋体" w:cs="宋体"/>
          <w:color w:val="000000"/>
          <w:sz w:val="20"/>
          <w:szCs w:val="20"/>
          <w:lang w:val="en-US" w:eastAsia="zh-CN"/>
        </w:rPr>
      </w:pPr>
    </w:p>
    <w:p w14:paraId="41D63DBE">
      <w:pPr>
        <w:numPr>
          <w:ilvl w:val="0"/>
          <w:numId w:val="0"/>
        </w:numPr>
        <w:bidi w:val="0"/>
        <w:ind w:left="420" w:leftChars="0" w:firstLine="0" w:firstLineChars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0"/>
          <w:szCs w:val="20"/>
          <w:lang w:val="en-US" w:eastAsia="zh-CN" w:bidi="ar-SA"/>
        </w:rPr>
        <w:t>二、</w:t>
      </w:r>
      <w:r>
        <w:rPr>
          <w:rFonts w:hint="eastAsia" w:ascii="方正仿宋_GBK" w:hAnsi="方正仿宋_GBK" w:eastAsia="方正仿宋_GBK" w:cs="方正仿宋_GBK"/>
          <w:sz w:val="20"/>
          <w:szCs w:val="20"/>
        </w:rPr>
        <w:t>全自动医用PCR分析系统</w:t>
      </w: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>2 数量：1台</w:t>
      </w:r>
    </w:p>
    <w:p w14:paraId="12C78BAF">
      <w:pPr>
        <w:widowControl w:val="0"/>
        <w:numPr>
          <w:ilvl w:val="0"/>
          <w:numId w:val="0"/>
        </w:numPr>
        <w:bidi w:val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</w:t>
      </w:r>
    </w:p>
    <w:p w14:paraId="7AFD6246">
      <w:pPr>
        <w:widowControl w:val="0"/>
        <w:numPr>
          <w:ilvl w:val="0"/>
          <w:numId w:val="0"/>
        </w:numPr>
        <w:bidi w:val="0"/>
        <w:jc w:val="left"/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0"/>
          <w:szCs w:val="20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FF0000"/>
          <w:sz w:val="20"/>
          <w:szCs w:val="20"/>
          <w:lang w:val="en-US" w:eastAsia="zh-CN"/>
        </w:rPr>
        <w:t>具体要求：</w:t>
      </w:r>
    </w:p>
    <w:p w14:paraId="69EB4AB7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1．检测用途：用于结核分枝杆菌复合菌群DNA的快速检测、且主机及配套体外诊断试剂均具有NMPA证或备案证；</w:t>
      </w:r>
    </w:p>
    <w:p w14:paraId="5CF82B4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2．高效快速的样本前处理：需配备痰液样品前处理系统，能做到密封环境下快速处理痰液；</w:t>
      </w:r>
    </w:p>
    <w:p w14:paraId="675BA989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3．常温储运、随到随检：搭配的试剂盒为单人份包装，试剂预分装入试剂盒，无需配液，可常温运输及储存，拆封即用，可实现样本随到随检，无需攒样上机，不造成试剂浪费；</w:t>
      </w:r>
    </w:p>
    <w:p w14:paraId="0CFE56C0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4.全密闭操作、保障生物安全：反应过程全部在封闭环境内闭盖完成，全程无开盖、刺破、抽吸液体等开放式操作，可避免批内和批间交叉污染及环境污染，最大程度降低病原体污染及气溶胶污染风险，保护检验人员安全；</w:t>
      </w:r>
    </w:p>
    <w:p w14:paraId="7ED64B6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5.操作简便，快速报告：一步加样，试剂盒放入设备后，仪器全自动完成提取、扩增、结果输出等检测全流程，全过程无需手工干预，结核分枝杆菌复合群检测时间≤45min，满足临床快速报告需求；</w:t>
      </w:r>
    </w:p>
    <w:p w14:paraId="123B936F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6.质控措施：配套检测盒中，内置质控，同时配套试剂盒中，有阳性质控品、阴性质控品；</w:t>
      </w:r>
    </w:p>
    <w:p w14:paraId="378A3B61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7. 设备通量：样本通量≥16；可以实现多台设备矩阵级联，实现大检测通量；</w:t>
      </w:r>
    </w:p>
    <w:p w14:paraId="654983C2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ascii="方正仿宋_GBK" w:hAnsi="方正仿宋_GBK" w:eastAsia="方正仿宋_GBK" w:cs="方正仿宋_GBK"/>
          <w:color w:val="00000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8.荧光通道：≥8色荧光通道，具备熔解曲线分析功能，可实现单人份试剂盒的多重靶标检测；</w:t>
      </w:r>
    </w:p>
    <w:p w14:paraId="18DCFF54">
      <w:pPr>
        <w:numPr>
          <w:ilvl w:val="0"/>
          <w:numId w:val="0"/>
        </w:numPr>
        <w:adjustRightInd w:val="0"/>
        <w:snapToGrid w:val="0"/>
        <w:spacing w:line="280" w:lineRule="exact"/>
        <w:ind w:left="1470" w:leftChars="0"/>
        <w:jc w:val="left"/>
        <w:rPr>
          <w:rFonts w:hint="default" w:ascii="方正仿宋_GBK" w:hAnsi="方正仿宋_GBK" w:eastAsia="方正仿宋_GBK" w:cs="方正仿宋_GBK"/>
          <w:color w:val="000000"/>
          <w:sz w:val="20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0"/>
          <w:szCs w:val="20"/>
        </w:rPr>
        <w:t>9.升降温速率及温控系统：平均升温速率 ≥13℃/s；平均降温速率≥10℃/s，模块控温精度≤0.1℃、温度准确度≤0.5 ℃；</w:t>
      </w:r>
    </w:p>
    <w:sectPr>
      <w:pgSz w:w="11907" w:h="16840"/>
      <w:pgMar w:top="1089" w:right="1559" w:bottom="170" w:left="1559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0">
    <w:altName w:val="宋体"/>
    <w:panose1 w:val="02010600030101010101"/>
    <w:charset w:val="86"/>
    <w:family w:val="auto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F8"/>
    <w:rsid w:val="000566E6"/>
    <w:rsid w:val="00151A85"/>
    <w:rsid w:val="001D7992"/>
    <w:rsid w:val="00280BF7"/>
    <w:rsid w:val="003C03F9"/>
    <w:rsid w:val="0041447E"/>
    <w:rsid w:val="004767EB"/>
    <w:rsid w:val="004B1E19"/>
    <w:rsid w:val="004D1FAE"/>
    <w:rsid w:val="00540A66"/>
    <w:rsid w:val="00612EB5"/>
    <w:rsid w:val="007032A8"/>
    <w:rsid w:val="00797986"/>
    <w:rsid w:val="00E700F8"/>
    <w:rsid w:val="00EB0943"/>
    <w:rsid w:val="236C5700"/>
    <w:rsid w:val="342B1079"/>
    <w:rsid w:val="67D41195"/>
    <w:rsid w:val="6B143165"/>
    <w:rsid w:val="7A46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3268</Words>
  <Characters>4257</Characters>
  <Lines>26</Lines>
  <Paragraphs>7</Paragraphs>
  <TotalTime>2</TotalTime>
  <ScaleCrop>false</ScaleCrop>
  <LinksUpToDate>false</LinksUpToDate>
  <CharactersWithSpaces>4475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2024-12-10T00:07:00Z</dcterms:created>
  <dc:creator>w jg</dc:creator>
  <cp:lastModifiedBy>张 志 明.</cp:lastModifiedBy>
  <cp:lastPrinted>2024-12-16T00:28:00Z</cp:lastPrinted>
  <dcterms:modified xsi:type="dcterms:W3CDTF">2024-12-16T06:55:55Z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DD7C7D91DEB34147BD20D12887127645_12</vt:lpwstr>
  </property>
</Properties>
</file>