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B7FC">
      <w:pPr>
        <w:ind w:left="0" w:leftChars="0" w:firstLine="0" w:firstLineChars="0"/>
        <w:jc w:val="center"/>
        <w:rPr>
          <w:rFonts w:hint="eastAsia"/>
          <w:b/>
          <w:bCs/>
          <w:sz w:val="32"/>
          <w:szCs w:val="21"/>
          <w:lang w:val="en-US" w:eastAsia="zh-CN"/>
        </w:rPr>
      </w:pPr>
      <w:r>
        <w:rPr>
          <w:rFonts w:hint="eastAsia"/>
          <w:b/>
          <w:bCs/>
          <w:sz w:val="32"/>
          <w:szCs w:val="21"/>
          <w:lang w:val="en-US" w:eastAsia="zh-CN"/>
        </w:rPr>
        <w:t>杀毒软件需求说明</w:t>
      </w:r>
    </w:p>
    <w:p w14:paraId="0B74836B">
      <w:pPr>
        <w:ind w:left="0" w:leftChars="0" w:firstLine="0" w:firstLineChars="0"/>
        <w:jc w:val="center"/>
        <w:rPr>
          <w:rFonts w:hint="default"/>
          <w:b/>
          <w:bCs/>
          <w:sz w:val="32"/>
          <w:szCs w:val="21"/>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513"/>
        <w:gridCol w:w="643"/>
        <w:gridCol w:w="6253"/>
        <w:gridCol w:w="644"/>
      </w:tblGrid>
      <w:tr w14:paraId="437A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auto" w:sz="4" w:space="0"/>
            </w:tcBorders>
            <w:vAlign w:val="center"/>
          </w:tcPr>
          <w:p w14:paraId="0251E38D">
            <w:pPr>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0" w:type="auto"/>
            <w:tcBorders>
              <w:top w:val="single" w:color="auto" w:sz="4" w:space="0"/>
            </w:tcBorders>
            <w:shd w:val="clear" w:color="auto" w:fill="auto"/>
            <w:vAlign w:val="center"/>
          </w:tcPr>
          <w:p w14:paraId="431FEDF1">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重要性</w:t>
            </w:r>
          </w:p>
        </w:tc>
        <w:tc>
          <w:tcPr>
            <w:tcW w:w="0" w:type="auto"/>
            <w:tcBorders>
              <w:top w:val="single" w:color="auto" w:sz="4" w:space="0"/>
            </w:tcBorders>
            <w:shd w:val="clear" w:color="auto" w:fill="auto"/>
            <w:vAlign w:val="center"/>
          </w:tcPr>
          <w:p w14:paraId="1A935BE3">
            <w:pPr>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功能及指标项</w:t>
            </w:r>
          </w:p>
        </w:tc>
        <w:tc>
          <w:tcPr>
            <w:tcW w:w="0" w:type="auto"/>
            <w:tcBorders>
              <w:top w:val="single" w:color="auto" w:sz="4" w:space="0"/>
            </w:tcBorders>
            <w:shd w:val="clear" w:color="auto" w:fill="auto"/>
            <w:vAlign w:val="center"/>
          </w:tcPr>
          <w:p w14:paraId="2238C7C5">
            <w:pPr>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技术指标要求</w:t>
            </w:r>
          </w:p>
        </w:tc>
        <w:tc>
          <w:tcPr>
            <w:tcW w:w="0" w:type="auto"/>
            <w:tcBorders>
              <w:top w:val="single" w:color="auto" w:sz="4" w:space="0"/>
            </w:tcBorders>
            <w:shd w:val="clear" w:color="auto" w:fill="auto"/>
            <w:vAlign w:val="center"/>
          </w:tcPr>
          <w:p w14:paraId="3207B7F4">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证明材料要求</w:t>
            </w:r>
          </w:p>
        </w:tc>
      </w:tr>
      <w:tr w14:paraId="711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14:paraId="236D8CEC">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0" w:type="auto"/>
            <w:shd w:val="clear" w:color="auto" w:fill="auto"/>
            <w:vAlign w:val="center"/>
          </w:tcPr>
          <w:p w14:paraId="1512FADE">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restart"/>
            <w:shd w:val="clear" w:color="auto" w:fill="auto"/>
            <w:vAlign w:val="center"/>
          </w:tcPr>
          <w:p w14:paraId="3CC3FD18">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w:t>
            </w:r>
            <w:r>
              <w:rPr>
                <w:rFonts w:hint="eastAsia" w:ascii="宋体" w:hAnsi="宋体" w:eastAsia="宋体" w:cs="宋体"/>
                <w:color w:val="000000" w:themeColor="text1"/>
                <w:sz w:val="21"/>
                <w:szCs w:val="21"/>
                <w:lang w:val="en-US" w:eastAsia="zh-CN"/>
                <w14:textFill>
                  <w14:solidFill>
                    <w14:schemeClr w14:val="tx1"/>
                  </w14:solidFill>
                </w14:textFill>
              </w:rPr>
              <w:t>数量</w:t>
            </w:r>
          </w:p>
        </w:tc>
        <w:tc>
          <w:tcPr>
            <w:tcW w:w="0" w:type="auto"/>
            <w:shd w:val="clear" w:color="auto" w:fill="auto"/>
            <w:vAlign w:val="center"/>
          </w:tcPr>
          <w:p w14:paraId="45D166DF">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续授权（原杀毒软件品牌为天融信）：</w:t>
            </w:r>
            <w:r>
              <w:rPr>
                <w:rFonts w:hint="eastAsia" w:ascii="宋体" w:hAnsi="宋体" w:eastAsia="宋体" w:cs="宋体"/>
                <w:color w:val="000000" w:themeColor="text1"/>
                <w:sz w:val="21"/>
                <w:szCs w:val="21"/>
                <w14:textFill>
                  <w14:solidFill>
                    <w14:schemeClr w14:val="tx1"/>
                  </w14:solidFill>
                </w14:textFill>
              </w:rPr>
              <w:t>包含300个 Windows Server系统1年病毒库升级服务、2100个 Windows PC系统1年病毒库升级服务</w:t>
            </w:r>
          </w:p>
        </w:tc>
        <w:tc>
          <w:tcPr>
            <w:tcW w:w="0" w:type="auto"/>
            <w:shd w:val="clear" w:color="auto" w:fill="auto"/>
            <w:vAlign w:val="center"/>
          </w:tcPr>
          <w:p w14:paraId="1143E1A4">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026C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Align w:val="center"/>
          </w:tcPr>
          <w:p w14:paraId="672DD057">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0" w:type="auto"/>
            <w:shd w:val="clear" w:color="auto" w:fill="auto"/>
            <w:vAlign w:val="center"/>
          </w:tcPr>
          <w:p w14:paraId="562EF5FD">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33C9A990">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525D9B76">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新增</w:t>
            </w:r>
            <w:r>
              <w:rPr>
                <w:rFonts w:hint="eastAsia" w:ascii="宋体" w:hAnsi="宋体" w:eastAsia="宋体" w:cs="宋体"/>
                <w:color w:val="000000" w:themeColor="text1"/>
                <w:sz w:val="21"/>
                <w:szCs w:val="21"/>
                <w:lang w:val="en-US" w:eastAsia="zh-CN"/>
                <w14:textFill>
                  <w14:solidFill>
                    <w14:schemeClr w14:val="tx1"/>
                  </w14:solidFill>
                </w14:textFill>
              </w:rPr>
              <w:t>授权：含</w:t>
            </w:r>
            <w:r>
              <w:rPr>
                <w:rFonts w:hint="eastAsia" w:ascii="宋体" w:hAnsi="宋体" w:eastAsia="宋体" w:cs="宋体"/>
                <w:color w:val="000000" w:themeColor="text1"/>
                <w:sz w:val="21"/>
                <w:szCs w:val="21"/>
                <w14:textFill>
                  <w14:solidFill>
                    <w14:schemeClr w14:val="tx1"/>
                  </w14:solidFill>
                </w14:textFill>
              </w:rPr>
              <w:t>150个Linux Server系统防病毒功能授权，含1年升级许可。确保新增授权能够与原有采购的防病毒授权实现无缝集成与统一纳管。</w:t>
            </w:r>
          </w:p>
        </w:tc>
        <w:tc>
          <w:tcPr>
            <w:tcW w:w="0" w:type="auto"/>
            <w:shd w:val="clear" w:color="auto" w:fill="auto"/>
            <w:vAlign w:val="center"/>
          </w:tcPr>
          <w:p w14:paraId="3D902213">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61F2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Align w:val="center"/>
          </w:tcPr>
          <w:p w14:paraId="5E0778A4">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0" w:type="auto"/>
            <w:shd w:val="clear" w:color="auto" w:fill="auto"/>
            <w:vAlign w:val="center"/>
          </w:tcPr>
          <w:p w14:paraId="2D0CF503">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restart"/>
            <w:shd w:val="clear" w:color="auto" w:fill="auto"/>
            <w:vAlign w:val="center"/>
          </w:tcPr>
          <w:p w14:paraId="5FAC0C02">
            <w:pPr>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功能要求</w:t>
            </w:r>
          </w:p>
        </w:tc>
        <w:tc>
          <w:tcPr>
            <w:tcW w:w="0" w:type="auto"/>
            <w:shd w:val="clear" w:color="auto" w:fill="auto"/>
            <w:vAlign w:val="center"/>
          </w:tcPr>
          <w:p w14:paraId="6655A029">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客户端安装后至多占用50M硬盘资源，日常内存占用不到30M，有效节省PC/Server资源。(提供截图证明并加厂商公章)</w:t>
            </w:r>
          </w:p>
        </w:tc>
        <w:tc>
          <w:tcPr>
            <w:tcW w:w="0" w:type="auto"/>
            <w:shd w:val="clear" w:color="auto" w:fill="auto"/>
            <w:vAlign w:val="center"/>
          </w:tcPr>
          <w:p w14:paraId="4983F21B">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441B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0" w:type="auto"/>
            <w:vAlign w:val="center"/>
          </w:tcPr>
          <w:p w14:paraId="36318089">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0" w:type="auto"/>
            <w:vAlign w:val="center"/>
          </w:tcPr>
          <w:p w14:paraId="78242B51">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vAlign w:val="center"/>
          </w:tcPr>
          <w:p w14:paraId="104CA6B8">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00788CD6">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客户端至少支持WindowsXP、Windows 7、Windows 8、Windows 10、Windows 11等32位/64位终端操作系统，支持Windows server 2003、Windows server2008、Windows server 2012、Windows server 2016、Windows server 2019等32位/64位服务器操作系统。</w:t>
            </w:r>
          </w:p>
        </w:tc>
        <w:tc>
          <w:tcPr>
            <w:tcW w:w="0" w:type="auto"/>
            <w:shd w:val="clear" w:color="auto" w:fill="auto"/>
            <w:vAlign w:val="center"/>
          </w:tcPr>
          <w:p w14:paraId="722506D4">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228B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Align w:val="center"/>
          </w:tcPr>
          <w:p w14:paraId="6E9C156A">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0" w:type="auto"/>
            <w:vAlign w:val="center"/>
          </w:tcPr>
          <w:p w14:paraId="4EF32627">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0" w:type="auto"/>
            <w:vMerge w:val="continue"/>
            <w:vAlign w:val="center"/>
          </w:tcPr>
          <w:p w14:paraId="7DB545AB">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7C750804">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支持级联部署及管理，可实时查看下级终端威胁及在线情况，上级可对下级灵活分配授权，同时可实现分级管理中心能够通过上级管理中心升级病毒库和客户端版本。</w:t>
            </w:r>
          </w:p>
        </w:tc>
        <w:tc>
          <w:tcPr>
            <w:tcW w:w="0" w:type="auto"/>
            <w:shd w:val="clear" w:color="auto" w:fill="auto"/>
            <w:vAlign w:val="center"/>
          </w:tcPr>
          <w:p w14:paraId="3052BB4A">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6E5D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0" w:type="auto"/>
            <w:vAlign w:val="center"/>
          </w:tcPr>
          <w:p w14:paraId="09A666A5">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0" w:type="auto"/>
            <w:vAlign w:val="center"/>
          </w:tcPr>
          <w:p w14:paraId="25EB3149">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0" w:type="auto"/>
            <w:vMerge w:val="continue"/>
            <w:vAlign w:val="center"/>
          </w:tcPr>
          <w:p w14:paraId="4260D5C8">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0DF41CBE">
            <w:pPr>
              <w:ind w:firstLine="0" w:firstLineChars="0"/>
              <w:rPr>
                <w:rFonts w:hint="eastAsia" w:ascii="宋体" w:hAnsi="宋体" w:eastAsia="宋体" w:cs="宋体"/>
                <w:color w:val="000000" w:themeColor="text1"/>
                <w:sz w:val="21"/>
                <w:szCs w:val="21"/>
                <w14:textFill>
                  <w14:solidFill>
                    <w14:schemeClr w14:val="tx1"/>
                  </w14:solidFill>
                </w14:textFill>
              </w:rPr>
            </w:pPr>
            <w:bookmarkStart w:id="0" w:name="_Hlk143075123"/>
            <w:r>
              <w:rPr>
                <w:rFonts w:hint="eastAsia" w:ascii="宋体" w:hAnsi="宋体" w:eastAsia="宋体" w:cs="宋体"/>
                <w:color w:val="000000" w:themeColor="text1"/>
                <w:sz w:val="21"/>
                <w:szCs w:val="21"/>
                <w14:textFill>
                  <w14:solidFill>
                    <w14:schemeClr w14:val="tx1"/>
                  </w14:solidFill>
                </w14:textFill>
              </w:rPr>
              <w:t>支持通过PING、ARP、NMAP方式扫描，发现尚未纳入管控的终端，支持展示终端的终端在线、离线、安装情况</w:t>
            </w:r>
            <w:bookmarkEnd w:id="0"/>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014C340B">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6735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vAlign w:val="center"/>
          </w:tcPr>
          <w:p w14:paraId="28FB40C4">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0" w:type="auto"/>
            <w:vAlign w:val="center"/>
          </w:tcPr>
          <w:p w14:paraId="0A7A9A48">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0" w:type="auto"/>
            <w:vMerge w:val="continue"/>
            <w:vAlign w:val="center"/>
          </w:tcPr>
          <w:p w14:paraId="3B5E347B">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26C2AACD">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可以展示全网补丁情况，包括补丁编号、补丁类型、操作系统、下载状态等，支持补丁忽略功能。</w:t>
            </w:r>
          </w:p>
        </w:tc>
        <w:tc>
          <w:tcPr>
            <w:tcW w:w="0" w:type="auto"/>
            <w:shd w:val="clear" w:color="auto" w:fill="auto"/>
            <w:vAlign w:val="center"/>
          </w:tcPr>
          <w:p w14:paraId="24A5891B">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36A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vAlign w:val="center"/>
          </w:tcPr>
          <w:p w14:paraId="6E0C3191">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0" w:type="auto"/>
            <w:vAlign w:val="center"/>
          </w:tcPr>
          <w:p w14:paraId="054AF871">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vAlign w:val="center"/>
          </w:tcPr>
          <w:p w14:paraId="78189A83">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15473324">
            <w:pPr>
              <w:ind w:firstLine="0" w:firstLineChars="0"/>
              <w:rPr>
                <w:rFonts w:hint="eastAsia" w:ascii="宋体" w:hAnsi="宋体" w:eastAsia="宋体" w:cs="宋体"/>
                <w:color w:val="000000" w:themeColor="text1"/>
                <w:sz w:val="21"/>
                <w:szCs w:val="21"/>
                <w14:textFill>
                  <w14:solidFill>
                    <w14:schemeClr w14:val="tx1"/>
                  </w14:solidFill>
                </w14:textFill>
              </w:rPr>
            </w:pPr>
            <w:bookmarkStart w:id="1" w:name="_Hlk143103285"/>
            <w:r>
              <w:rPr>
                <w:rFonts w:hint="eastAsia" w:ascii="宋体" w:hAnsi="宋体" w:eastAsia="宋体" w:cs="宋体"/>
                <w:color w:val="000000" w:themeColor="text1"/>
                <w:sz w:val="21"/>
                <w:szCs w:val="21"/>
                <w14:textFill>
                  <w14:solidFill>
                    <w14:schemeClr w14:val="tx1"/>
                  </w14:solidFill>
                </w14:textFill>
              </w:rPr>
              <w:t>支持动态认证，配置动态认证策略可以在用户本地以及远程登录系统时进行口令认证</w:t>
            </w:r>
            <w:bookmarkEnd w:id="1"/>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0F422C03">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5E8B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vAlign w:val="center"/>
          </w:tcPr>
          <w:p w14:paraId="73CCF101">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0" w:type="auto"/>
            <w:vAlign w:val="center"/>
          </w:tcPr>
          <w:p w14:paraId="6975E789">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vAlign w:val="center"/>
          </w:tcPr>
          <w:p w14:paraId="3BAD6E8C">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69558B03">
            <w:pPr>
              <w:ind w:firstLine="0" w:firstLineChars="0"/>
              <w:rPr>
                <w:rFonts w:hint="eastAsia" w:ascii="宋体" w:hAnsi="宋体" w:eastAsia="宋体" w:cs="宋体"/>
                <w:color w:val="000000" w:themeColor="text1"/>
                <w:sz w:val="21"/>
                <w:szCs w:val="21"/>
                <w14:textFill>
                  <w14:solidFill>
                    <w14:schemeClr w14:val="tx1"/>
                  </w14:solidFill>
                </w14:textFill>
              </w:rPr>
            </w:pPr>
            <w:bookmarkStart w:id="2" w:name="_Hlk143075171"/>
            <w:r>
              <w:rPr>
                <w:rFonts w:hint="eastAsia" w:ascii="宋体" w:hAnsi="宋体" w:eastAsia="宋体" w:cs="宋体"/>
                <w:color w:val="000000" w:themeColor="text1"/>
                <w:sz w:val="21"/>
                <w:szCs w:val="21"/>
                <w14:textFill>
                  <w14:solidFill>
                    <w14:schemeClr w14:val="tx1"/>
                  </w14:solidFill>
                </w14:textFill>
              </w:rPr>
              <w:t>支持终端防卸载、防脱离功能，管理员能够统一设置防卸载密码，防止终端用户随意脱离保护</w:t>
            </w:r>
            <w:bookmarkEnd w:id="2"/>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2F37DD20">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671C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Align w:val="center"/>
          </w:tcPr>
          <w:p w14:paraId="7CCDB053">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0" w:type="auto"/>
            <w:vAlign w:val="center"/>
          </w:tcPr>
          <w:p w14:paraId="65894A1A">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vAlign w:val="center"/>
          </w:tcPr>
          <w:p w14:paraId="5676996D">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5F22DA5D">
            <w:pPr>
              <w:ind w:firstLine="0" w:firstLineChars="0"/>
              <w:jc w:val="left"/>
              <w:rPr>
                <w:rFonts w:hint="eastAsia" w:ascii="宋体" w:hAnsi="宋体" w:eastAsia="宋体" w:cs="宋体"/>
                <w:color w:val="000000" w:themeColor="text1"/>
                <w:sz w:val="21"/>
                <w:szCs w:val="21"/>
                <w14:textFill>
                  <w14:solidFill>
                    <w14:schemeClr w14:val="tx1"/>
                  </w14:solidFill>
                </w14:textFill>
              </w:rPr>
            </w:pPr>
            <w:bookmarkStart w:id="3" w:name="_Hlk143103156"/>
            <w:r>
              <w:rPr>
                <w:rFonts w:hint="eastAsia" w:ascii="宋体" w:hAnsi="宋体" w:eastAsia="宋体" w:cs="宋体"/>
                <w:color w:val="000000" w:themeColor="text1"/>
                <w:sz w:val="21"/>
                <w:szCs w:val="21"/>
                <w14:textFill>
                  <w14:solidFill>
                    <w14:schemeClr w14:val="tx1"/>
                  </w14:solidFill>
                </w14:textFill>
              </w:rPr>
              <w:t>支持对浏览器主页进行锁定保护，对篡改浏览器设置的恶意行为进行有效防御</w:t>
            </w:r>
            <w:bookmarkEnd w:id="3"/>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13204C56">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2A40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0" w:type="auto"/>
            <w:vAlign w:val="center"/>
          </w:tcPr>
          <w:p w14:paraId="0274EA3F">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0" w:type="auto"/>
            <w:vAlign w:val="center"/>
          </w:tcPr>
          <w:p w14:paraId="095FE37A">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vAlign w:val="center"/>
          </w:tcPr>
          <w:p w14:paraId="7D3328E9">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116A3FAF">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终端内部文件进行全盘扫描、快速扫描，自定义扫描三种扫描能力，同时支持错峰扫描。（要求提供具备CNAS/CMA资质的第三方测试机构测试报告证明材料，至少包含报告首页，对应功能测试页和报告尾页并加盖制造商公章）</w:t>
            </w:r>
          </w:p>
        </w:tc>
        <w:tc>
          <w:tcPr>
            <w:tcW w:w="0" w:type="auto"/>
            <w:shd w:val="clear" w:color="auto" w:fill="auto"/>
            <w:vAlign w:val="center"/>
          </w:tcPr>
          <w:p w14:paraId="1E2A4BB5">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07AF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0" w:type="auto"/>
            <w:vAlign w:val="center"/>
          </w:tcPr>
          <w:p w14:paraId="60155473">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0" w:type="auto"/>
            <w:vAlign w:val="center"/>
          </w:tcPr>
          <w:p w14:paraId="1B384FAB">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0" w:type="auto"/>
            <w:vMerge w:val="continue"/>
            <w:vAlign w:val="center"/>
          </w:tcPr>
          <w:p w14:paraId="2C11273F">
            <w:pPr>
              <w:ind w:firstLine="420"/>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4A90D5F0">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支持终端策略标签化管理，按需求给终端配置标签，同一标签的终端可配置相同的动态策略</w:t>
            </w:r>
          </w:p>
        </w:tc>
        <w:tc>
          <w:tcPr>
            <w:tcW w:w="0" w:type="auto"/>
            <w:shd w:val="clear" w:color="auto" w:fill="auto"/>
            <w:vAlign w:val="center"/>
          </w:tcPr>
          <w:p w14:paraId="701990FF">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620D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1E8BAAEF">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0" w:type="auto"/>
            <w:shd w:val="clear" w:color="auto" w:fill="auto"/>
            <w:vAlign w:val="center"/>
          </w:tcPr>
          <w:p w14:paraId="7A11DF7C">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0" w:type="auto"/>
            <w:vMerge w:val="continue"/>
            <w:shd w:val="clear" w:color="auto" w:fill="auto"/>
            <w:vAlign w:val="center"/>
          </w:tcPr>
          <w:p w14:paraId="252DA26B">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1EE2197B">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支持基于虚拟沙盒的高效的本地反病毒引擎， 实现极高的本地查杀能力。</w:t>
            </w:r>
          </w:p>
        </w:tc>
        <w:tc>
          <w:tcPr>
            <w:tcW w:w="0" w:type="auto"/>
            <w:shd w:val="clear" w:color="auto" w:fill="auto"/>
            <w:vAlign w:val="center"/>
          </w:tcPr>
          <w:p w14:paraId="41A7D3CF">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14:paraId="1206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7F2EF561">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0" w:type="auto"/>
            <w:shd w:val="clear" w:color="auto" w:fill="auto"/>
            <w:vAlign w:val="center"/>
          </w:tcPr>
          <w:p w14:paraId="7D475EED">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31750568">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5B98A9C8">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支持开启勒索诱捕功能，设置诱饵文件并实时监控，当勒索病毒对该文件进行加密操作时进行拦截（提供配置界面截图证明并加厂商公章）</w:t>
            </w:r>
          </w:p>
        </w:tc>
        <w:tc>
          <w:tcPr>
            <w:tcW w:w="0" w:type="auto"/>
            <w:shd w:val="clear" w:color="auto" w:fill="auto"/>
            <w:vAlign w:val="center"/>
          </w:tcPr>
          <w:p w14:paraId="5250CEBA">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210E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0B50B6C1">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0" w:type="auto"/>
            <w:shd w:val="clear" w:color="auto" w:fill="auto"/>
            <w:vAlign w:val="center"/>
          </w:tcPr>
          <w:p w14:paraId="0DD31E8C">
            <w:pPr>
              <w:pStyle w:val="35"/>
              <w:widowControl/>
              <w:ind w:firstLine="0" w:firstLineChars="0"/>
              <w:jc w:val="center"/>
              <w:rPr>
                <w:rFonts w:hint="default"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2D050EA1">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674BD609">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支持对webshell后门进行扫描检测 , webshell后门规则数量大于100000（提供配置界面截图证明并加厂商公章）</w:t>
            </w:r>
          </w:p>
        </w:tc>
        <w:tc>
          <w:tcPr>
            <w:tcW w:w="0" w:type="auto"/>
            <w:shd w:val="clear" w:color="auto" w:fill="auto"/>
            <w:vAlign w:val="center"/>
          </w:tcPr>
          <w:p w14:paraId="75F5E8A7">
            <w:pPr>
              <w:ind w:firstLine="0" w:firstLineChars="0"/>
              <w:jc w:val="center"/>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cs="宋体"/>
                <w:color w:val="000000" w:themeColor="text1"/>
                <w:sz w:val="21"/>
                <w:szCs w:val="21"/>
                <w:lang w:eastAsia="zh-CN"/>
                <w14:textFill>
                  <w14:solidFill>
                    <w14:schemeClr w14:val="tx1"/>
                  </w14:solidFill>
                </w14:textFill>
              </w:rPr>
              <w:t>是</w:t>
            </w:r>
          </w:p>
        </w:tc>
      </w:tr>
      <w:tr w14:paraId="184A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5222ADFB">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0" w:type="auto"/>
            <w:shd w:val="clear" w:color="auto" w:fill="auto"/>
            <w:vAlign w:val="center"/>
          </w:tcPr>
          <w:p w14:paraId="39E99973">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2DF517BE">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2697C9FB">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恶意网站拦截，可拦截携带木马、盗号、钓鱼仿冒、虚假欺诈、流氓软件等程序的具有恶意行为的网站（要求提供具备CNAS/CMA资质的第三方测试机构测试报告证明材料，至少包含报告首页，对应功能测试页和报告尾页并加盖制造商公章）</w:t>
            </w:r>
          </w:p>
        </w:tc>
        <w:tc>
          <w:tcPr>
            <w:tcW w:w="0" w:type="auto"/>
            <w:shd w:val="clear" w:color="auto" w:fill="auto"/>
            <w:vAlign w:val="center"/>
          </w:tcPr>
          <w:p w14:paraId="589A14BB">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3AF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48DEDA8E">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0" w:type="auto"/>
            <w:shd w:val="clear" w:color="auto" w:fill="auto"/>
            <w:vAlign w:val="center"/>
          </w:tcPr>
          <w:p w14:paraId="6461DF7E">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0E7E6346">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6DC9D1F2">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系统加固，从系统文件保护、病毒免疫、进程保护、注册表保护、危险动作拦截、执行防护等多个维度对系统进行防护。（要求提供具备CNAS/CMA资质的第三方测试机构测试报告证明材料，至少包含报告首页，对应功能测试页和报告尾页并加盖制造商公章）</w:t>
            </w:r>
          </w:p>
        </w:tc>
        <w:tc>
          <w:tcPr>
            <w:tcW w:w="0" w:type="auto"/>
            <w:shd w:val="clear" w:color="auto" w:fill="auto"/>
            <w:vAlign w:val="center"/>
          </w:tcPr>
          <w:p w14:paraId="2D777C39">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5C00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6ABAA122">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0" w:type="auto"/>
            <w:shd w:val="clear" w:color="auto" w:fill="auto"/>
            <w:vAlign w:val="center"/>
          </w:tcPr>
          <w:p w14:paraId="3756F3ED">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12CCC29A">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51F8594C">
            <w:pPr>
              <w:ind w:firstLine="0" w:firstLineChars="0"/>
              <w:rPr>
                <w:rFonts w:hint="eastAsia" w:ascii="宋体" w:hAnsi="宋体" w:eastAsia="宋体" w:cs="宋体"/>
                <w:color w:val="000000" w:themeColor="text1"/>
                <w:sz w:val="21"/>
                <w:szCs w:val="21"/>
                <w14:textFill>
                  <w14:solidFill>
                    <w14:schemeClr w14:val="tx1"/>
                  </w14:solidFill>
                </w14:textFill>
              </w:rPr>
            </w:pPr>
            <w:bookmarkStart w:id="4" w:name="_Hlk143103493"/>
            <w:r>
              <w:rPr>
                <w:rFonts w:hint="eastAsia" w:ascii="宋体" w:hAnsi="宋体" w:eastAsia="宋体" w:cs="宋体"/>
                <w:color w:val="000000" w:themeColor="text1"/>
                <w:sz w:val="21"/>
                <w:szCs w:val="21"/>
                <w14:textFill>
                  <w14:solidFill>
                    <w14:schemeClr w14:val="tx1"/>
                  </w14:solidFill>
                </w14:textFill>
              </w:rPr>
              <w:t>支持进程监控，可定义进程黑、白名单， 白名单指定进程可设置自保护、启动退出报警，黑名单中的进程可自动中止</w:t>
            </w:r>
            <w:bookmarkEnd w:id="4"/>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3FECB248">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4DA9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2759E6B6">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0" w:type="auto"/>
            <w:shd w:val="clear" w:color="auto" w:fill="auto"/>
            <w:vAlign w:val="center"/>
          </w:tcPr>
          <w:p w14:paraId="111A9DF5">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60D53CC3">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49D3F7EB">
            <w:pPr>
              <w:ind w:firstLine="0" w:firstLineChars="0"/>
              <w:rPr>
                <w:rFonts w:hint="eastAsia" w:ascii="宋体" w:hAnsi="宋体" w:eastAsia="宋体" w:cs="宋体"/>
                <w:color w:val="000000" w:themeColor="text1"/>
                <w:sz w:val="21"/>
                <w:szCs w:val="21"/>
                <w14:textFill>
                  <w14:solidFill>
                    <w14:schemeClr w14:val="tx1"/>
                  </w14:solidFill>
                </w14:textFill>
              </w:rPr>
            </w:pPr>
            <w:bookmarkStart w:id="5" w:name="_Hlk143103581"/>
            <w:r>
              <w:rPr>
                <w:rFonts w:hint="eastAsia" w:ascii="宋体" w:hAnsi="宋体" w:eastAsia="宋体" w:cs="宋体"/>
                <w:color w:val="000000" w:themeColor="text1"/>
                <w:sz w:val="21"/>
                <w:szCs w:val="21"/>
                <w14:textFill>
                  <w14:solidFill>
                    <w14:schemeClr w14:val="tx1"/>
                  </w14:solidFill>
                </w14:textFill>
              </w:rPr>
              <w:t>支持对终端上软件的安装、修改、卸载进行审计，可设置软件白名单，非白名单软件在客户端无法安装</w:t>
            </w:r>
            <w:bookmarkEnd w:id="5"/>
            <w:r>
              <w:rPr>
                <w:rFonts w:hint="eastAsia" w:ascii="宋体" w:hAnsi="宋体" w:eastAsia="宋体" w:cs="宋体"/>
                <w:color w:val="000000" w:themeColor="text1"/>
                <w:sz w:val="21"/>
                <w:szCs w:val="21"/>
                <w14:textFill>
                  <w14:solidFill>
                    <w14:schemeClr w14:val="tx1"/>
                  </w14:solidFill>
                </w14:textFill>
              </w:rPr>
              <w:t>。（要求提供具备CNAS/CMA资质的第三方测试机构测试报告证明材料，至少包含报告首页，对应功能测试页和报告尾页并加盖制造商公章）</w:t>
            </w:r>
          </w:p>
        </w:tc>
        <w:tc>
          <w:tcPr>
            <w:tcW w:w="0" w:type="auto"/>
            <w:shd w:val="clear" w:color="auto" w:fill="auto"/>
            <w:vAlign w:val="center"/>
          </w:tcPr>
          <w:p w14:paraId="04B48541">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2E6F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7DFA452A">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0" w:type="auto"/>
            <w:shd w:val="clear" w:color="auto" w:fill="auto"/>
            <w:vAlign w:val="center"/>
          </w:tcPr>
          <w:p w14:paraId="71EAE1AF">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vMerge w:val="continue"/>
            <w:shd w:val="clear" w:color="auto" w:fill="auto"/>
            <w:vAlign w:val="center"/>
          </w:tcPr>
          <w:p w14:paraId="2AEC085E">
            <w:pPr>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0" w:type="auto"/>
            <w:shd w:val="clear" w:color="auto" w:fill="auto"/>
            <w:vAlign w:val="center"/>
          </w:tcPr>
          <w:p w14:paraId="799C96A0">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支持与当前网络中已部署态势感知系统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品牌为天融信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进行高效协同与联动。（提供配置界面截图证明并加厂商公章）</w:t>
            </w:r>
          </w:p>
        </w:tc>
        <w:tc>
          <w:tcPr>
            <w:tcW w:w="0" w:type="auto"/>
            <w:shd w:val="clear" w:color="auto" w:fill="auto"/>
            <w:vAlign w:val="center"/>
          </w:tcPr>
          <w:p w14:paraId="48A0988B">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1925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6AA4CC51">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0" w:type="auto"/>
            <w:shd w:val="clear" w:color="auto" w:fill="auto"/>
            <w:vAlign w:val="center"/>
          </w:tcPr>
          <w:p w14:paraId="017A5CF4">
            <w:pPr>
              <w:pStyle w:val="35"/>
              <w:widowControl/>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shd w:val="clear" w:color="auto" w:fill="auto"/>
            <w:vAlign w:val="center"/>
          </w:tcPr>
          <w:p w14:paraId="4F3F4193">
            <w:pPr>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产品资质</w:t>
            </w:r>
          </w:p>
        </w:tc>
        <w:tc>
          <w:tcPr>
            <w:tcW w:w="0" w:type="auto"/>
            <w:shd w:val="clear" w:color="auto" w:fill="auto"/>
            <w:vAlign w:val="center"/>
          </w:tcPr>
          <w:p w14:paraId="48C391CC">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产品具备中华人民共和国公安部颁发的《计算机信息系统安全专用产品销售许可证》（增强级）（提供资质证明并加盖厂商公章）</w:t>
            </w:r>
          </w:p>
        </w:tc>
        <w:tc>
          <w:tcPr>
            <w:tcW w:w="0" w:type="auto"/>
            <w:shd w:val="clear" w:color="auto" w:fill="auto"/>
            <w:vAlign w:val="center"/>
          </w:tcPr>
          <w:p w14:paraId="0198594E">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14:paraId="7498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Align w:val="center"/>
          </w:tcPr>
          <w:p w14:paraId="629D13E8">
            <w:pPr>
              <w:pStyle w:val="35"/>
              <w:widowControl/>
              <w:ind w:firstLine="0" w:firstLine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22</w:t>
            </w:r>
          </w:p>
        </w:tc>
        <w:tc>
          <w:tcPr>
            <w:tcW w:w="0" w:type="auto"/>
            <w:shd w:val="clear" w:color="auto" w:fill="auto"/>
            <w:vAlign w:val="center"/>
          </w:tcPr>
          <w:p w14:paraId="13BB71D3">
            <w:pPr>
              <w:pStyle w:val="35"/>
              <w:widowControl/>
              <w:ind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0" w:type="auto"/>
            <w:shd w:val="clear" w:color="auto" w:fill="auto"/>
            <w:vAlign w:val="center"/>
          </w:tcPr>
          <w:p w14:paraId="1DE35F52">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项目授权</w:t>
            </w:r>
          </w:p>
        </w:tc>
        <w:tc>
          <w:tcPr>
            <w:tcW w:w="0" w:type="auto"/>
            <w:shd w:val="clear" w:color="auto" w:fill="auto"/>
            <w:vAlign w:val="center"/>
          </w:tcPr>
          <w:p w14:paraId="6EAC5CB4">
            <w:pPr>
              <w:ind w:firstLine="0"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投标人需提供</w:t>
            </w:r>
            <w:r>
              <w:rPr>
                <w:rFonts w:hint="eastAsia" w:ascii="宋体" w:hAnsi="宋体" w:cs="宋体"/>
                <w:color w:val="000000" w:themeColor="text1"/>
                <w:sz w:val="21"/>
                <w:szCs w:val="21"/>
                <w:lang w:val="en-US" w:eastAsia="zh-CN"/>
                <w14:textFill>
                  <w14:solidFill>
                    <w14:schemeClr w14:val="tx1"/>
                  </w14:solidFill>
                </w14:textFill>
              </w:rPr>
              <w:t>产品</w:t>
            </w:r>
            <w:r>
              <w:rPr>
                <w:rFonts w:hint="eastAsia" w:ascii="宋体" w:hAnsi="宋体" w:eastAsia="宋体" w:cs="宋体"/>
                <w:color w:val="000000" w:themeColor="text1"/>
                <w:sz w:val="21"/>
                <w:szCs w:val="21"/>
                <w14:textFill>
                  <w14:solidFill>
                    <w14:schemeClr w14:val="tx1"/>
                  </w14:solidFill>
                </w14:textFill>
              </w:rPr>
              <w:t>厂商</w:t>
            </w:r>
            <w:r>
              <w:rPr>
                <w:rFonts w:hint="eastAsia" w:ascii="宋体" w:hAnsi="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项目授权函及售后服务承诺函</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提供项</w:t>
            </w:r>
            <w:r>
              <w:rPr>
                <w:rFonts w:hint="eastAsia" w:ascii="宋体" w:hAnsi="宋体" w:eastAsia="宋体" w:cs="宋体"/>
                <w:color w:val="000000" w:themeColor="text1"/>
                <w:sz w:val="21"/>
                <w:szCs w:val="21"/>
                <w14:textFill>
                  <w14:solidFill>
                    <w14:schemeClr w14:val="tx1"/>
                  </w14:solidFill>
                </w14:textFill>
              </w:rPr>
              <w:t>目授权函及售后服务承诺函</w:t>
            </w:r>
            <w:r>
              <w:rPr>
                <w:rFonts w:hint="eastAsia" w:ascii="宋体" w:hAnsi="宋体" w:cs="宋体"/>
                <w:color w:val="000000" w:themeColor="text1"/>
                <w:sz w:val="21"/>
                <w:szCs w:val="21"/>
                <w:lang w:val="en-US" w:eastAsia="zh-CN"/>
                <w14:textFill>
                  <w14:solidFill>
                    <w14:schemeClr w14:val="tx1"/>
                  </w14:solidFill>
                </w14:textFill>
              </w:rPr>
              <w:t>并加盖厂商公章</w:t>
            </w:r>
            <w:r>
              <w:rPr>
                <w:rFonts w:hint="eastAsia" w:ascii="宋体" w:hAnsi="宋体" w:cs="宋体"/>
                <w:color w:val="000000" w:themeColor="text1"/>
                <w:sz w:val="21"/>
                <w:szCs w:val="21"/>
                <w:lang w:eastAsia="zh-CN"/>
                <w14:textFill>
                  <w14:solidFill>
                    <w14:schemeClr w14:val="tx1"/>
                  </w14:solidFill>
                </w14:textFill>
              </w:rPr>
              <w:t>）</w:t>
            </w:r>
          </w:p>
        </w:tc>
        <w:tc>
          <w:tcPr>
            <w:tcW w:w="0" w:type="auto"/>
            <w:shd w:val="clear" w:color="auto" w:fill="auto"/>
            <w:vAlign w:val="center"/>
          </w:tcPr>
          <w:p w14:paraId="404321AD">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是</w:t>
            </w:r>
          </w:p>
        </w:tc>
      </w:tr>
    </w:tbl>
    <w:p w14:paraId="434FC23B">
      <w:pPr>
        <w:rPr>
          <w:sz w:val="22"/>
          <w:szCs w:val="16"/>
          <w:highlight w:val="yellow"/>
        </w:rPr>
      </w:pPr>
      <w:r>
        <w:rPr>
          <w:rFonts w:hint="eastAsia"/>
          <w:sz w:val="22"/>
          <w:szCs w:val="16"/>
          <w:highlight w:val="yellow"/>
        </w:rPr>
        <w:t>注：打“★”号条款为实质性条款，若有任何一条负偏离或不满足则导致投标无效。</w:t>
      </w:r>
    </w:p>
    <w:p w14:paraId="42DA088B">
      <w:pPr>
        <w:ind w:firstLine="560"/>
        <w:rPr>
          <w:rFonts w:hint="eastAsia" w:ascii="宋体" w:hAnsi="宋体" w:eastAsia="宋体" w:cs="宋体"/>
          <w:sz w:val="21"/>
          <w:szCs w:val="21"/>
        </w:rPr>
      </w:pPr>
    </w:p>
    <w:p w14:paraId="381999E2">
      <w:pPr>
        <w:pStyle w:val="3"/>
        <w:rPr>
          <w:rFonts w:hint="eastAsia" w:ascii="宋体" w:hAnsi="宋体" w:eastAsia="宋体" w:cs="宋体"/>
          <w:sz w:val="21"/>
          <w:szCs w:val="21"/>
        </w:rPr>
      </w:pPr>
    </w:p>
    <w:p w14:paraId="0A37B567">
      <w:pPr>
        <w:rPr>
          <w:rFonts w:hint="eastAsia" w:ascii="宋体" w:hAnsi="宋体" w:eastAsia="宋体" w:cs="宋体"/>
          <w:sz w:val="21"/>
          <w:szCs w:val="21"/>
        </w:rPr>
      </w:pPr>
      <w:bookmarkStart w:id="6" w:name="_GoBack"/>
      <w:bookmarkEnd w:id="6"/>
    </w:p>
    <w:p w14:paraId="14BE3999">
      <w:pPr>
        <w:pStyle w:val="3"/>
        <w:rPr>
          <w:rFonts w:hint="eastAsia" w:ascii="宋体" w:hAnsi="宋体" w:eastAsia="宋体" w:cs="宋体"/>
          <w:sz w:val="21"/>
          <w:szCs w:val="21"/>
        </w:rPr>
      </w:pPr>
    </w:p>
    <w:p w14:paraId="0DA74C4B">
      <w:pPr>
        <w:rPr>
          <w:rFonts w:hint="eastAsia" w:ascii="宋体" w:hAnsi="宋体" w:eastAsia="宋体" w:cs="宋体"/>
          <w:sz w:val="21"/>
          <w:szCs w:val="21"/>
        </w:rPr>
      </w:pPr>
    </w:p>
    <w:p w14:paraId="722BBA51">
      <w:pPr>
        <w:pStyle w:val="3"/>
        <w:rPr>
          <w:rFonts w:hint="eastAsia" w:ascii="宋体" w:hAnsi="宋体" w:eastAsia="宋体" w:cs="宋体"/>
          <w:sz w:val="21"/>
          <w:szCs w:val="21"/>
        </w:rPr>
      </w:pPr>
    </w:p>
    <w:p w14:paraId="59803DD3">
      <w:pPr>
        <w:rPr>
          <w:rFonts w:hint="eastAsia" w:ascii="宋体" w:hAnsi="宋体" w:eastAsia="宋体" w:cs="宋体"/>
          <w:sz w:val="21"/>
          <w:szCs w:val="21"/>
        </w:rPr>
      </w:pPr>
    </w:p>
    <w:p w14:paraId="4926AF22">
      <w:pPr>
        <w:pStyle w:val="3"/>
        <w:rPr>
          <w:rFonts w:hint="eastAsia" w:ascii="宋体" w:hAnsi="宋体" w:eastAsia="宋体" w:cs="宋体"/>
          <w:sz w:val="21"/>
          <w:szCs w:val="21"/>
        </w:rPr>
      </w:pPr>
    </w:p>
    <w:p w14:paraId="5F940666">
      <w:pPr>
        <w:rPr>
          <w:rFonts w:hint="eastAsia" w:ascii="宋体" w:hAnsi="宋体" w:eastAsia="宋体" w:cs="宋体"/>
          <w:sz w:val="21"/>
          <w:szCs w:val="21"/>
        </w:rPr>
      </w:pPr>
    </w:p>
    <w:p w14:paraId="5635349E">
      <w:pPr>
        <w:pStyle w:val="3"/>
        <w:rPr>
          <w:rFonts w:hint="eastAsia" w:ascii="宋体" w:hAnsi="宋体" w:eastAsia="宋体" w:cs="宋体"/>
          <w:sz w:val="21"/>
          <w:szCs w:val="21"/>
        </w:rPr>
      </w:pPr>
    </w:p>
    <w:p w14:paraId="07FEA6BD">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OGIyMmMyZDU4NjkzOWU3OTE1MmY1ZTY2NTM1YzYifQ=="/>
  </w:docVars>
  <w:rsids>
    <w:rsidRoot w:val="001C3FDA"/>
    <w:rsid w:val="001C3FDA"/>
    <w:rsid w:val="00314A5D"/>
    <w:rsid w:val="003E7C7F"/>
    <w:rsid w:val="00431ABA"/>
    <w:rsid w:val="004B6799"/>
    <w:rsid w:val="00585F98"/>
    <w:rsid w:val="006B01DF"/>
    <w:rsid w:val="00854612"/>
    <w:rsid w:val="008B4D06"/>
    <w:rsid w:val="009160AF"/>
    <w:rsid w:val="009D7153"/>
    <w:rsid w:val="009E19E2"/>
    <w:rsid w:val="00AD617C"/>
    <w:rsid w:val="00BF575A"/>
    <w:rsid w:val="00D61C7B"/>
    <w:rsid w:val="00DC001E"/>
    <w:rsid w:val="00E778D8"/>
    <w:rsid w:val="00FC2F4C"/>
    <w:rsid w:val="07B13CAC"/>
    <w:rsid w:val="09DF1397"/>
    <w:rsid w:val="0A7B4003"/>
    <w:rsid w:val="27E30E27"/>
    <w:rsid w:val="2E490152"/>
    <w:rsid w:val="330E1609"/>
    <w:rsid w:val="438F7B95"/>
    <w:rsid w:val="4BB943B0"/>
    <w:rsid w:val="52B74DB2"/>
    <w:rsid w:val="58680771"/>
    <w:rsid w:val="6E11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17"/>
    <w:qFormat/>
    <w:uiPriority w:val="9"/>
    <w:pPr>
      <w:keepNext/>
      <w:keepLines/>
      <w:spacing w:before="480" w:after="80" w:line="240" w:lineRule="auto"/>
      <w:ind w:firstLine="0" w:firstLineChars="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9"/>
    <w:pPr>
      <w:keepNext/>
      <w:keepLines/>
      <w:spacing w:before="160" w:after="80" w:line="240" w:lineRule="auto"/>
      <w:ind w:firstLine="0" w:firstLineChars="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line="240" w:lineRule="auto"/>
      <w:ind w:firstLine="0" w:firstLineChars="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line="240" w:lineRule="auto"/>
      <w:ind w:firstLine="0" w:firstLineChars="0"/>
      <w:outlineLvl w:val="3"/>
    </w:pPr>
    <w:rPr>
      <w:rFonts w:asciiTheme="minorHAnsi" w:hAnsiTheme="minorHAnsi" w:eastAsiaTheme="minorEastAsia" w:cstheme="majorBidi"/>
      <w:color w:val="104862" w:themeColor="accent1" w:themeShade="BF"/>
      <w:szCs w:val="28"/>
    </w:rPr>
  </w:style>
  <w:style w:type="paragraph" w:styleId="6">
    <w:name w:val="heading 5"/>
    <w:basedOn w:val="1"/>
    <w:next w:val="1"/>
    <w:link w:val="21"/>
    <w:semiHidden/>
    <w:unhideWhenUsed/>
    <w:qFormat/>
    <w:uiPriority w:val="9"/>
    <w:pPr>
      <w:keepNext/>
      <w:keepLines/>
      <w:spacing w:before="80" w:after="40" w:line="240" w:lineRule="auto"/>
      <w:ind w:firstLine="0" w:firstLineChars="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line="240" w:lineRule="auto"/>
      <w:ind w:firstLine="0" w:firstLineChars="0"/>
      <w:outlineLvl w:val="5"/>
    </w:pPr>
    <w:rPr>
      <w:rFonts w:asciiTheme="minorHAnsi" w:hAnsiTheme="minorHAnsi" w:eastAsiaTheme="minorEastAsia" w:cstheme="majorBidi"/>
      <w:b/>
      <w:bCs/>
      <w:color w:val="104862" w:themeColor="accent1" w:themeShade="BF"/>
      <w:sz w:val="21"/>
      <w:szCs w:val="24"/>
    </w:rPr>
  </w:style>
  <w:style w:type="paragraph" w:styleId="8">
    <w:name w:val="heading 7"/>
    <w:basedOn w:val="1"/>
    <w:next w:val="1"/>
    <w:link w:val="23"/>
    <w:semiHidden/>
    <w:unhideWhenUsed/>
    <w:qFormat/>
    <w:uiPriority w:val="9"/>
    <w:pPr>
      <w:keepNext/>
      <w:keepLines/>
      <w:spacing w:before="40" w:line="240" w:lineRule="auto"/>
      <w:ind w:firstLine="0" w:firstLineChars="0"/>
      <w:outlineLvl w:val="6"/>
    </w:pPr>
    <w:rPr>
      <w:rFonts w:asciiTheme="minorHAnsi" w:hAnsiTheme="minorHAnsi" w:eastAsiaTheme="minorEastAsia" w:cstheme="majorBidi"/>
      <w:b/>
      <w:bCs/>
      <w:color w:val="595959" w:themeColor="text1" w:themeTint="A6"/>
      <w:sz w:val="21"/>
      <w:szCs w:val="24"/>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line="240" w:lineRule="auto"/>
      <w:ind w:firstLine="0" w:firstLineChars="0"/>
      <w:outlineLvl w:val="7"/>
    </w:pPr>
    <w:rPr>
      <w:rFonts w:asciiTheme="minorHAnsi" w:hAnsiTheme="minorHAnsi" w:eastAsiaTheme="minorEastAsia" w:cstheme="majorBidi"/>
      <w:color w:val="595959" w:themeColor="text1" w:themeTint="A6"/>
      <w:sz w:val="21"/>
      <w:szCs w:val="24"/>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line="240" w:lineRule="auto"/>
      <w:ind w:firstLine="0" w:firstLineChars="0"/>
      <w:outlineLvl w:val="8"/>
    </w:pPr>
    <w:rPr>
      <w:rFonts w:asciiTheme="minorHAnsi" w:hAnsiTheme="minorHAnsi" w:eastAsiaTheme="majorEastAsia" w:cstheme="majorBidi"/>
      <w:color w:val="595959" w:themeColor="text1" w:themeTint="A6"/>
      <w:sz w:val="21"/>
      <w:szCs w:val="24"/>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7"/>
    <w:unhideWhenUsed/>
    <w:qFormat/>
    <w:uiPriority w:val="99"/>
    <w:pPr>
      <w:jc w:val="left"/>
    </w:pPr>
  </w:style>
  <w:style w:type="paragraph" w:styleId="12">
    <w:name w:val="Subtitle"/>
    <w:basedOn w:val="1"/>
    <w:next w:val="1"/>
    <w:link w:val="27"/>
    <w:qFormat/>
    <w:uiPriority w:val="11"/>
    <w:pPr>
      <w:spacing w:after="160" w:line="240" w:lineRule="auto"/>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ind w:firstLine="0" w:firstLineChars="0"/>
      <w:contextualSpacing/>
      <w:jc w:val="center"/>
    </w:pPr>
    <w:rPr>
      <w:rFonts w:asciiTheme="majorHAnsi" w:hAnsiTheme="majorHAnsi" w:eastAsiaTheme="majorEastAsia" w:cstheme="majorBidi"/>
      <w:spacing w:val="-10"/>
      <w:kern w:val="28"/>
      <w:sz w:val="56"/>
      <w:szCs w:val="56"/>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40" w:lineRule="auto"/>
      <w:ind w:firstLine="0" w:firstLineChars="0"/>
      <w:jc w:val="center"/>
    </w:pPr>
    <w:rPr>
      <w:rFonts w:asciiTheme="minorHAnsi" w:hAnsiTheme="minorHAnsi" w:eastAsiaTheme="minorEastAsia" w:cstheme="minorBidi"/>
      <w:i/>
      <w:iCs/>
      <w:color w:val="404040" w:themeColor="text1" w:themeTint="BF"/>
      <w:sz w:val="21"/>
      <w:szCs w:val="24"/>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1"/>
      <w:szCs w:val="24"/>
    </w:r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40" w:lineRule="auto"/>
      <w:ind w:left="864" w:right="864" w:firstLine="0" w:firstLineChars="0"/>
      <w:jc w:val="center"/>
    </w:pPr>
    <w:rPr>
      <w:rFonts w:asciiTheme="minorHAnsi" w:hAnsiTheme="minorHAnsi" w:eastAsiaTheme="minorEastAsia" w:cstheme="minorBidi"/>
      <w:i/>
      <w:iCs/>
      <w:color w:val="104862" w:themeColor="accent1" w:themeShade="BF"/>
      <w:sz w:val="21"/>
      <w:szCs w:val="24"/>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paragraph" w:customStyle="1" w:styleId="35">
    <w:name w:val="列出段落1"/>
    <w:basedOn w:val="1"/>
    <w:link w:val="36"/>
    <w:qFormat/>
    <w:uiPriority w:val="34"/>
    <w:pPr>
      <w:ind w:firstLine="420"/>
    </w:pPr>
    <w:rPr>
      <w:rFonts w:ascii="Arial" w:hAnsi="Arial"/>
      <w:sz w:val="24"/>
      <w:szCs w:val="21"/>
    </w:rPr>
  </w:style>
  <w:style w:type="character" w:customStyle="1" w:styleId="36">
    <w:name w:val="列表段落 字符"/>
    <w:link w:val="35"/>
    <w:qFormat/>
    <w:locked/>
    <w:uiPriority w:val="34"/>
    <w:rPr>
      <w:rFonts w:ascii="Arial" w:hAnsi="Arial" w:eastAsia="宋体" w:cs="Times New Roman"/>
      <w:sz w:val="24"/>
      <w:szCs w:val="21"/>
    </w:rPr>
  </w:style>
  <w:style w:type="character" w:customStyle="1" w:styleId="37">
    <w:name w:val="批注文字 字符"/>
    <w:basedOn w:val="15"/>
    <w:link w:val="11"/>
    <w:qFormat/>
    <w:uiPriority w:val="99"/>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1798</Words>
  <Characters>2058</Characters>
  <Lines>13</Lines>
  <Paragraphs>3</Paragraphs>
  <TotalTime>13</TotalTime>
  <ScaleCrop>false</ScaleCrop>
  <LinksUpToDate>false</LinksUpToDate>
  <CharactersWithSpaces>2082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2024-03-11T08:14:00Z</dcterms:created>
  <dc:creator>am</dc:creator>
  <cp:lastModifiedBy>张 志 明.</cp:lastModifiedBy>
  <dcterms:modified xsi:type="dcterms:W3CDTF">2024-11-13T05:31:33Z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5FD7A31656E8444CBC8B19853D1C6118_13</vt:lpwstr>
  </property>
</Properties>
</file>