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7"/>
        <w:ind w:left="563" w:right="585"/>
        <w:jc w:val="center"/>
        <w:rPr>
          <w:rFonts w:ascii="宋体" w:hAnsi="宋体" w:eastAsia="宋体"/>
          <w:b/>
          <w:sz w:val="32"/>
        </w:rPr>
      </w:pPr>
      <w:r>
        <w:rPr>
          <w:rFonts w:ascii="宋体" w:hAnsi="宋体" w:eastAsia="宋体"/>
          <w:b/>
          <w:sz w:val="32"/>
        </w:rPr>
        <w:t>偏离/违背方案审查的标准操作规程</w:t>
      </w:r>
    </w:p>
    <w:p>
      <w:pPr>
        <w:tabs>
          <w:tab w:val="left" w:pos="1248"/>
          <w:tab w:val="left" w:pos="2200"/>
        </w:tabs>
        <w:spacing w:line="360" w:lineRule="auto"/>
        <w:ind w:right="84"/>
        <w:jc w:val="left"/>
        <w:rPr>
          <w:rFonts w:ascii="宋体" w:hAnsi="宋体" w:eastAsia="宋体" w:cs="宋体"/>
          <w:sz w:val="24"/>
          <w:szCs w:val="24"/>
        </w:rPr>
      </w:pPr>
      <w:r>
        <w:rPr>
          <w:rFonts w:hint="eastAsia" w:ascii="宋体" w:hAnsi="宋体" w:eastAsia="宋体" w:cs="宋体"/>
          <w:b/>
          <w:sz w:val="24"/>
          <w:szCs w:val="24"/>
        </w:rPr>
        <w:t>I.</w:t>
      </w:r>
      <w:r>
        <w:rPr>
          <w:rFonts w:ascii="宋体" w:hAnsi="宋体" w:eastAsia="宋体" w:cs="宋体"/>
          <w:b/>
          <w:sz w:val="24"/>
          <w:szCs w:val="24"/>
        </w:rPr>
        <w:t>目的：</w:t>
      </w:r>
      <w:r>
        <w:rPr>
          <w:rFonts w:ascii="宋体" w:hAnsi="宋体" w:eastAsia="宋体" w:cs="宋体"/>
          <w:sz w:val="24"/>
          <w:szCs w:val="24"/>
        </w:rPr>
        <w:t>本 SOP 旨在规范在研究过程中涉及的所有研究项目方案的偏离/ 违背，需提交伦理委员会进行审查和批准。</w:t>
      </w:r>
    </w:p>
    <w:p>
      <w:pPr>
        <w:tabs>
          <w:tab w:val="left" w:pos="1843"/>
          <w:tab w:val="left" w:pos="2323"/>
        </w:tabs>
        <w:spacing w:line="360" w:lineRule="auto"/>
        <w:ind w:right="84"/>
        <w:rPr>
          <w:rFonts w:ascii="宋体" w:hAnsi="宋体" w:eastAsia="宋体" w:cs="宋体"/>
          <w:sz w:val="24"/>
          <w:szCs w:val="24"/>
        </w:rPr>
      </w:pPr>
      <w:r>
        <w:rPr>
          <w:rFonts w:ascii="宋体" w:hAnsi="宋体" w:eastAsia="宋体" w:cs="宋体"/>
          <w:b/>
          <w:sz w:val="24"/>
          <w:szCs w:val="24"/>
        </w:rPr>
        <w:t>II.范围：</w:t>
      </w:r>
      <w:r>
        <w:rPr>
          <w:rFonts w:ascii="宋体" w:hAnsi="宋体" w:eastAsia="宋体" w:cs="宋体"/>
          <w:sz w:val="24"/>
          <w:szCs w:val="24"/>
        </w:rPr>
        <w:t>本 SOP 应适用于经伦理委员会审查通过后的所有研究项目在研究进行中所发生的所有偏离/违背方案进行审查通过。</w:t>
      </w:r>
    </w:p>
    <w:p>
      <w:pPr>
        <w:tabs>
          <w:tab w:val="left" w:pos="1965"/>
          <w:tab w:val="left" w:pos="2323"/>
        </w:tabs>
        <w:spacing w:line="360" w:lineRule="auto"/>
        <w:ind w:right="84"/>
        <w:rPr>
          <w:rFonts w:ascii="宋体" w:hAnsi="宋体" w:eastAsia="宋体" w:cs="宋体"/>
          <w:b/>
          <w:sz w:val="24"/>
          <w:szCs w:val="24"/>
        </w:rPr>
      </w:pPr>
      <w:r>
        <w:rPr>
          <w:rFonts w:hint="eastAsia" w:ascii="宋体" w:hAnsi="宋体" w:eastAsia="宋体" w:cs="宋体"/>
          <w:b/>
          <w:sz w:val="24"/>
          <w:szCs w:val="24"/>
        </w:rPr>
        <w:t>III.</w:t>
      </w:r>
      <w:r>
        <w:rPr>
          <w:rFonts w:ascii="宋体" w:hAnsi="宋体" w:eastAsia="宋体" w:cs="宋体"/>
          <w:b/>
          <w:sz w:val="24"/>
          <w:szCs w:val="24"/>
        </w:rPr>
        <w:t>责任人：</w:t>
      </w:r>
      <w:r>
        <w:rPr>
          <w:rFonts w:ascii="宋体" w:hAnsi="宋体" w:eastAsia="宋体" w:cs="宋体"/>
          <w:sz w:val="24"/>
          <w:szCs w:val="24"/>
        </w:rPr>
        <w:t>项目负责人、原主审委员。</w:t>
      </w:r>
    </w:p>
    <w:p>
      <w:pPr>
        <w:tabs>
          <w:tab w:val="left" w:pos="1965"/>
          <w:tab w:val="left" w:pos="2323"/>
        </w:tabs>
        <w:spacing w:line="360" w:lineRule="auto"/>
        <w:ind w:right="84"/>
        <w:rPr>
          <w:rFonts w:ascii="宋体" w:hAnsi="宋体" w:eastAsia="宋体" w:cs="宋体"/>
          <w:b/>
          <w:sz w:val="24"/>
          <w:szCs w:val="24"/>
        </w:rPr>
      </w:pPr>
      <w:r>
        <w:rPr>
          <w:rFonts w:ascii="宋体" w:hAnsi="宋体" w:eastAsia="宋体" w:cs="宋体"/>
          <w:b/>
          <w:sz w:val="24"/>
          <w:szCs w:val="24"/>
        </w:rPr>
        <w:t>IV.规程：</w:t>
      </w:r>
    </w:p>
    <w:p>
      <w:pPr>
        <w:tabs>
          <w:tab w:val="left" w:pos="1248"/>
          <w:tab w:val="left" w:pos="2200"/>
        </w:tabs>
        <w:spacing w:line="360" w:lineRule="auto"/>
        <w:ind w:right="84" w:firstLine="480" w:firstLineChars="200"/>
        <w:jc w:val="left"/>
        <w:rPr>
          <w:rFonts w:ascii="宋体" w:hAnsi="宋体" w:eastAsia="宋体" w:cs="宋体"/>
          <w:sz w:val="24"/>
          <w:szCs w:val="24"/>
        </w:rPr>
      </w:pPr>
      <w:r>
        <w:rPr>
          <w:rFonts w:ascii="宋体" w:hAnsi="宋体" w:eastAsia="宋体" w:cs="宋体"/>
          <w:sz w:val="24"/>
          <w:szCs w:val="24"/>
        </w:rPr>
        <w:t>伦理委员会秘书受理研究过程中研究项目所发生的所有文件偏离/违背资料，通知主任委员及原主审，根据偏离/违背方案的程度决定审查方式，如决定会议审查则按照会议审查流程进行，如决定快审则由原有的 2 名主审委员进行审查，意见一致则快审通过，如不一致则进入会审流程。审查决定将在会上进行报告。</w:t>
      </w:r>
    </w:p>
    <w:p>
      <w:pPr>
        <w:tabs>
          <w:tab w:val="left" w:pos="1965"/>
          <w:tab w:val="left" w:pos="2323"/>
        </w:tabs>
        <w:spacing w:line="360" w:lineRule="auto"/>
        <w:ind w:right="84"/>
        <w:rPr>
          <w:rFonts w:ascii="宋体" w:hAnsi="宋体" w:eastAsia="宋体" w:cs="宋体"/>
          <w:b/>
          <w:sz w:val="24"/>
          <w:szCs w:val="24"/>
        </w:rPr>
      </w:pPr>
      <w:r>
        <w:rPr>
          <w:rFonts w:hint="eastAsia" w:ascii="宋体" w:hAnsi="宋体" w:eastAsia="宋体" w:cs="宋体"/>
          <w:b/>
          <w:sz w:val="24"/>
          <w:szCs w:val="24"/>
        </w:rPr>
        <w:t>V.</w:t>
      </w:r>
      <w:r>
        <w:rPr>
          <w:rFonts w:ascii="宋体" w:hAnsi="宋体" w:eastAsia="宋体" w:cs="宋体"/>
          <w:b/>
          <w:sz w:val="24"/>
          <w:szCs w:val="24"/>
        </w:rPr>
        <w:t>参考文献</w:t>
      </w:r>
    </w:p>
    <w:p>
      <w:pPr>
        <w:tabs>
          <w:tab w:val="left" w:pos="1720"/>
        </w:tabs>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《药物临床试验质量管理规范（GCP）》2020 年</w:t>
      </w:r>
    </w:p>
    <w:p>
      <w:pPr>
        <w:tabs>
          <w:tab w:val="left" w:pos="1720"/>
        </w:tabs>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.《赫尔辛基宣言》( 1964 年及其后的版本）；</w:t>
      </w:r>
    </w:p>
    <w:p>
      <w:pPr>
        <w:tabs>
          <w:tab w:val="left" w:pos="1720"/>
        </w:tabs>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《药物临床试验伦理审查工作指导原则》，2010 年</w:t>
      </w:r>
      <w:r>
        <w:rPr>
          <w:rFonts w:hint="eastAsia" w:ascii="宋体" w:hAnsi="宋体" w:eastAsia="宋体"/>
          <w:sz w:val="24"/>
          <w:szCs w:val="24"/>
        </w:rPr>
        <w:t>；</w:t>
      </w:r>
    </w:p>
    <w:p>
      <w:pPr>
        <w:tabs>
          <w:tab w:val="left" w:pos="1720"/>
        </w:tabs>
        <w:spacing w:line="360" w:lineRule="auto"/>
        <w:ind w:firstLine="480" w:firstLineChars="200"/>
        <w:rPr>
          <w:rFonts w:ascii="宋体" w:hAnsi="宋体" w:eastAsia="宋体"/>
          <w:sz w:val="24"/>
          <w:szCs w:val="24"/>
        </w:rPr>
      </w:pPr>
      <w:r>
        <w:rPr>
          <w:rFonts w:ascii="宋体" w:hAnsi="宋体" w:eastAsia="宋体"/>
          <w:sz w:val="24"/>
          <w:szCs w:val="24"/>
        </w:rPr>
        <w:t>4.《人体生物医学研究国际伦理指南》2022 年；</w:t>
      </w:r>
    </w:p>
    <w:p>
      <w:pPr>
        <w:pStyle w:val="2"/>
        <w:spacing w:line="360" w:lineRule="auto"/>
        <w:ind w:right="84" w:firstLine="480" w:firstLineChars="200"/>
        <w:rPr>
          <w:kern w:val="2"/>
          <w:lang w:eastAsia="zh-CN"/>
        </w:rPr>
      </w:pPr>
      <w:r>
        <w:rPr>
          <w:kern w:val="2"/>
          <w:lang w:eastAsia="zh-CN"/>
        </w:rPr>
        <w:t>5</w:t>
      </w:r>
      <w:r>
        <w:rPr>
          <w:rFonts w:hint="eastAsia"/>
          <w:kern w:val="2"/>
          <w:lang w:eastAsia="zh-CN"/>
        </w:rPr>
        <w:t>.《</w:t>
      </w:r>
      <w:r>
        <w:rPr>
          <w:kern w:val="2"/>
          <w:lang w:eastAsia="zh-CN"/>
        </w:rPr>
        <w:t>涉及人的生物医学研究伦理</w:t>
      </w:r>
      <w:r>
        <w:rPr>
          <w:rFonts w:hint="eastAsia"/>
          <w:kern w:val="2"/>
          <w:lang w:eastAsia="zh-CN"/>
        </w:rPr>
        <w:t>审查办法</w:t>
      </w:r>
      <w:r>
        <w:rPr>
          <w:kern w:val="2"/>
          <w:lang w:eastAsia="zh-CN"/>
        </w:rPr>
        <w:t>》</w:t>
      </w:r>
      <w:r>
        <w:rPr>
          <w:rFonts w:hint="eastAsia"/>
          <w:kern w:val="2"/>
          <w:lang w:eastAsia="zh-CN"/>
        </w:rPr>
        <w:t>2016年</w:t>
      </w:r>
    </w:p>
    <w:p>
      <w:pPr>
        <w:tabs>
          <w:tab w:val="left" w:pos="1839"/>
        </w:tabs>
        <w:spacing w:line="360" w:lineRule="auto"/>
        <w:ind w:right="1342" w:firstLine="480" w:firstLineChars="200"/>
        <w:rPr>
          <w:rFonts w:ascii="宋体" w:hAnsi="宋体" w:eastAsia="宋体"/>
          <w:sz w:val="24"/>
          <w:szCs w:val="24"/>
        </w:rPr>
      </w:pPr>
      <w:r>
        <w:rPr>
          <w:rFonts w:ascii="宋体" w:hAnsi="宋体" w:eastAsia="宋体"/>
          <w:sz w:val="24"/>
          <w:szCs w:val="24"/>
        </w:rPr>
        <w:t>6.《涉及人的生命科学和医学研究伦理审查办法》2023 版</w:t>
      </w:r>
      <w:r>
        <w:rPr>
          <w:rFonts w:hint="eastAsia" w:ascii="宋体" w:hAnsi="宋体" w:eastAsia="宋体"/>
          <w:sz w:val="24"/>
          <w:szCs w:val="24"/>
        </w:rPr>
        <w:t>；</w:t>
      </w:r>
    </w:p>
    <w:p>
      <w:pPr>
        <w:pStyle w:val="2"/>
        <w:spacing w:line="360" w:lineRule="auto"/>
        <w:ind w:right="84" w:firstLine="480" w:firstLineChars="200"/>
        <w:rPr>
          <w:kern w:val="2"/>
          <w:lang w:eastAsia="zh-CN"/>
        </w:rPr>
      </w:pPr>
      <w:r>
        <w:rPr>
          <w:kern w:val="2"/>
          <w:lang w:eastAsia="zh-CN"/>
        </w:rPr>
        <w:t>7.《涉及人的临床研究伦理审查委员会建设指南》2023 版</w:t>
      </w:r>
      <w:r>
        <w:rPr>
          <w:rFonts w:hint="eastAsia"/>
          <w:kern w:val="2"/>
          <w:lang w:eastAsia="zh-CN"/>
        </w:rPr>
        <w:t>；</w:t>
      </w:r>
    </w:p>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28" w:firstLineChars="0"/>
        <w:jc w:val="left"/>
        <w:rPr>
          <w:lang w:val="en-US" w:eastAsia="zh-CN"/>
        </w:rPr>
      </w:pPr>
    </w:p>
    <w:p>
      <w:pPr>
        <w:spacing w:line="360" w:lineRule="auto"/>
        <w:jc w:val="center"/>
        <w:rPr>
          <w:rFonts w:ascii="宋体" w:hAnsi="宋体"/>
          <w:b/>
          <w:sz w:val="32"/>
          <w:szCs w:val="32"/>
        </w:rPr>
      </w:pPr>
      <w:bookmarkStart w:id="0" w:name="_GoBack"/>
      <w:bookmarkEnd w:id="0"/>
      <w:r>
        <w:rPr>
          <w:rFonts w:hint="eastAsia" w:ascii="宋体" w:hAnsi="宋体" w:cs="宋体"/>
          <w:b/>
          <w:sz w:val="32"/>
          <w:szCs w:val="32"/>
        </w:rPr>
        <w:t>不依从</w:t>
      </w:r>
      <w:r>
        <w:rPr>
          <w:rFonts w:ascii="宋体" w:hAnsi="宋体" w:cs="宋体"/>
          <w:b/>
          <w:sz w:val="32"/>
          <w:szCs w:val="32"/>
        </w:rPr>
        <w:t>/</w:t>
      </w:r>
      <w:r>
        <w:rPr>
          <w:rFonts w:hint="eastAsia" w:ascii="宋体" w:hAnsi="宋体" w:cs="宋体"/>
          <w:b/>
          <w:sz w:val="32"/>
          <w:szCs w:val="32"/>
        </w:rPr>
        <w:t>违背方案报告表</w:t>
      </w:r>
    </w:p>
    <w:tbl>
      <w:tblPr>
        <w:tblStyle w:val="3"/>
        <w:tblW w:w="537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008"/>
        <w:gridCol w:w="141"/>
        <w:gridCol w:w="1745"/>
        <w:gridCol w:w="1063"/>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95" w:type="pct"/>
            <w:gridSpan w:val="2"/>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方案名称及版本号</w:t>
            </w:r>
          </w:p>
        </w:tc>
        <w:tc>
          <w:tcPr>
            <w:tcW w:w="3705" w:type="pct"/>
            <w:gridSpan w:val="4"/>
            <w:vAlign w:val="center"/>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95" w:type="pct"/>
            <w:gridSpan w:val="2"/>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伦理审批件编号</w:t>
            </w:r>
          </w:p>
        </w:tc>
        <w:tc>
          <w:tcPr>
            <w:tcW w:w="3705" w:type="pct"/>
            <w:gridSpan w:val="4"/>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5" w:type="pct"/>
            <w:gridSpan w:val="2"/>
            <w:vAlign w:val="center"/>
          </w:tcPr>
          <w:p>
            <w:pPr>
              <w:tabs>
                <w:tab w:val="center" w:pos="4153"/>
                <w:tab w:val="right" w:pos="8306"/>
              </w:tabs>
              <w:snapToGrid w:val="0"/>
              <w:spacing w:line="360" w:lineRule="auto"/>
              <w:jc w:val="center"/>
              <w:rPr>
                <w:rFonts w:ascii="宋体" w:hAnsi="宋体" w:cs="宋体"/>
                <w:sz w:val="24"/>
                <w:szCs w:val="24"/>
              </w:rPr>
            </w:pPr>
            <w:r>
              <w:rPr>
                <w:rFonts w:ascii="宋体" w:hAnsi="宋体" w:cs="宋体"/>
                <w:sz w:val="24"/>
                <w:szCs w:val="24"/>
              </w:rPr>
              <w:t>EC</w:t>
            </w:r>
            <w:r>
              <w:rPr>
                <w:rFonts w:hint="eastAsia" w:ascii="宋体" w:hAnsi="宋体" w:cs="宋体"/>
                <w:sz w:val="24"/>
                <w:szCs w:val="24"/>
              </w:rPr>
              <w:t>批准日期</w:t>
            </w:r>
          </w:p>
        </w:tc>
        <w:tc>
          <w:tcPr>
            <w:tcW w:w="3705" w:type="pct"/>
            <w:gridSpan w:val="4"/>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95" w:type="pct"/>
            <w:gridSpan w:val="2"/>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主要研究者及科室</w:t>
            </w:r>
          </w:p>
        </w:tc>
        <w:tc>
          <w:tcPr>
            <w:tcW w:w="3705" w:type="pct"/>
            <w:gridSpan w:val="4"/>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95" w:type="pct"/>
            <w:gridSpan w:val="2"/>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申办者</w:t>
            </w:r>
          </w:p>
        </w:tc>
        <w:tc>
          <w:tcPr>
            <w:tcW w:w="3705" w:type="pct"/>
            <w:gridSpan w:val="4"/>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95" w:type="pct"/>
            <w:gridSpan w:val="2"/>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不依从</w:t>
            </w:r>
            <w:r>
              <w:rPr>
                <w:rFonts w:ascii="宋体" w:hAnsi="宋体" w:cs="宋体"/>
                <w:sz w:val="24"/>
                <w:szCs w:val="24"/>
              </w:rPr>
              <w:t>/</w:t>
            </w:r>
            <w:r>
              <w:rPr>
                <w:rFonts w:hint="eastAsia" w:ascii="宋体" w:hAnsi="宋体" w:cs="宋体"/>
                <w:sz w:val="24"/>
                <w:szCs w:val="24"/>
              </w:rPr>
              <w:t>违背方案涉及人员</w:t>
            </w:r>
          </w:p>
        </w:tc>
        <w:tc>
          <w:tcPr>
            <w:tcW w:w="3705" w:type="pct"/>
            <w:gridSpan w:val="4"/>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6"/>
            <w:vAlign w:val="center"/>
          </w:tcPr>
          <w:p>
            <w:pPr>
              <w:tabs>
                <w:tab w:val="center" w:pos="4153"/>
                <w:tab w:val="right" w:pos="8306"/>
              </w:tabs>
              <w:snapToGrid w:val="0"/>
              <w:spacing w:line="360" w:lineRule="auto"/>
              <w:rPr>
                <w:rFonts w:ascii="宋体" w:hAnsi="宋体" w:cs="宋体"/>
                <w:sz w:val="24"/>
                <w:szCs w:val="24"/>
              </w:rPr>
            </w:pPr>
            <w:r>
              <w:rPr>
                <w:rFonts w:hint="eastAsia" w:ascii="宋体" w:hAnsi="宋体" w:cs="宋体"/>
                <w:sz w:val="24"/>
                <w:szCs w:val="24"/>
              </w:rPr>
              <w:t>不依从</w:t>
            </w:r>
            <w:r>
              <w:rPr>
                <w:rFonts w:ascii="宋体" w:hAnsi="宋体" w:cs="宋体"/>
                <w:sz w:val="24"/>
                <w:szCs w:val="24"/>
              </w:rPr>
              <w:t>/</w:t>
            </w:r>
            <w:r>
              <w:rPr>
                <w:rFonts w:hint="eastAsia" w:ascii="宋体" w:hAnsi="宋体" w:cs="宋体"/>
                <w:sz w:val="24"/>
                <w:szCs w:val="24"/>
              </w:rPr>
              <w:t>违背方案详细说明：</w:t>
            </w:r>
          </w:p>
          <w:p>
            <w:pPr>
              <w:tabs>
                <w:tab w:val="center" w:pos="4153"/>
                <w:tab w:val="right" w:pos="8306"/>
              </w:tabs>
              <w:snapToGrid w:val="0"/>
              <w:spacing w:line="360" w:lineRule="auto"/>
              <w:rPr>
                <w:rFonts w:ascii="宋体" w:hAnsi="宋体" w:cs="宋体"/>
                <w:sz w:val="24"/>
                <w:szCs w:val="24"/>
              </w:rPr>
            </w:pPr>
          </w:p>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45" w:type="pct"/>
            <w:tcBorders>
              <w:bottom w:val="single" w:color="auto" w:sz="4" w:space="0"/>
            </w:tcBorders>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报告人签名</w:t>
            </w:r>
          </w:p>
        </w:tc>
        <w:tc>
          <w:tcPr>
            <w:tcW w:w="1579" w:type="pct"/>
            <w:gridSpan w:val="3"/>
            <w:tcBorders>
              <w:bottom w:val="single" w:color="auto" w:sz="4" w:space="0"/>
            </w:tcBorders>
            <w:vAlign w:val="center"/>
          </w:tcPr>
          <w:p>
            <w:pPr>
              <w:tabs>
                <w:tab w:val="center" w:pos="4153"/>
                <w:tab w:val="right" w:pos="8306"/>
              </w:tabs>
              <w:snapToGrid w:val="0"/>
              <w:spacing w:line="360" w:lineRule="auto"/>
              <w:rPr>
                <w:rFonts w:ascii="宋体" w:hAnsi="宋体" w:cs="宋体"/>
                <w:sz w:val="24"/>
                <w:szCs w:val="24"/>
              </w:rPr>
            </w:pPr>
          </w:p>
        </w:tc>
        <w:tc>
          <w:tcPr>
            <w:tcW w:w="580" w:type="pct"/>
            <w:tcBorders>
              <w:bottom w:val="single" w:color="auto" w:sz="4" w:space="0"/>
            </w:tcBorders>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报告日期</w:t>
            </w:r>
          </w:p>
        </w:tc>
        <w:tc>
          <w:tcPr>
            <w:tcW w:w="2096" w:type="pct"/>
            <w:tcBorders>
              <w:bottom w:val="single" w:color="auto" w:sz="4" w:space="0"/>
            </w:tcBorders>
            <w:vAlign w:val="center"/>
          </w:tcPr>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32"/>
                <w:szCs w:val="32"/>
              </w:rPr>
            </w:pPr>
            <w:r>
              <w:rPr>
                <w:rFonts w:hint="eastAsia" w:ascii="宋体" w:hAnsi="宋体" w:cs="黑体"/>
                <w:b/>
                <w:sz w:val="32"/>
                <w:szCs w:val="32"/>
              </w:rPr>
              <w:t>以下为伦理委员会使用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2" w:type="pct"/>
            <w:gridSpan w:val="3"/>
            <w:tcBorders>
              <w:top w:val="single" w:color="auto" w:sz="4" w:space="0"/>
            </w:tcBorders>
            <w:vAlign w:val="center"/>
          </w:tcPr>
          <w:p>
            <w:pPr>
              <w:tabs>
                <w:tab w:val="center" w:pos="4153"/>
                <w:tab w:val="right" w:pos="8306"/>
              </w:tabs>
              <w:snapToGrid w:val="0"/>
              <w:spacing w:line="360" w:lineRule="auto"/>
              <w:rPr>
                <w:rFonts w:ascii="宋体" w:hAnsi="宋体" w:cs="宋体"/>
                <w:sz w:val="24"/>
                <w:szCs w:val="24"/>
              </w:rPr>
            </w:pPr>
            <w:r>
              <w:rPr>
                <w:rFonts w:hint="eastAsia" w:ascii="宋体" w:hAnsi="宋体" w:cs="宋体"/>
                <w:sz w:val="24"/>
                <w:szCs w:val="24"/>
              </w:rPr>
              <w:t>不依从</w:t>
            </w:r>
            <w:r>
              <w:rPr>
                <w:rFonts w:ascii="宋体" w:hAnsi="宋体" w:cs="宋体"/>
                <w:sz w:val="24"/>
                <w:szCs w:val="24"/>
              </w:rPr>
              <w:t>/</w:t>
            </w:r>
            <w:r>
              <w:rPr>
                <w:rFonts w:hint="eastAsia" w:ascii="宋体" w:hAnsi="宋体" w:cs="宋体"/>
                <w:sz w:val="24"/>
                <w:szCs w:val="24"/>
              </w:rPr>
              <w:t>违背方案性质</w:t>
            </w:r>
          </w:p>
        </w:tc>
        <w:tc>
          <w:tcPr>
            <w:tcW w:w="3628" w:type="pct"/>
            <w:gridSpan w:val="3"/>
            <w:tcBorders>
              <w:top w:val="single" w:color="auto" w:sz="4" w:space="0"/>
            </w:tcBorders>
            <w:vAlign w:val="center"/>
          </w:tcPr>
          <w:p>
            <w:pPr>
              <w:tabs>
                <w:tab w:val="center" w:pos="4153"/>
                <w:tab w:val="right" w:pos="8306"/>
              </w:tabs>
              <w:snapToGrid w:val="0"/>
              <w:spacing w:line="360" w:lineRule="auto"/>
              <w:ind w:firstLine="240" w:firstLineChars="100"/>
              <w:rPr>
                <w:rFonts w:ascii="宋体" w:hAnsi="宋体" w:cs="宋体"/>
                <w:sz w:val="24"/>
                <w:szCs w:val="24"/>
              </w:rPr>
            </w:pPr>
            <w:r>
              <w:rPr>
                <w:rFonts w:hint="eastAsia" w:ascii="宋体" w:hAnsi="宋体" w:cs="宋体"/>
                <w:sz w:val="24"/>
                <w:szCs w:val="24"/>
              </w:rPr>
              <w:t>□情节较轻</w:t>
            </w:r>
            <w:r>
              <w:rPr>
                <w:rFonts w:ascii="宋体" w:hAnsi="宋体" w:cs="宋体"/>
                <w:sz w:val="24"/>
                <w:szCs w:val="24"/>
              </w:rPr>
              <w:t xml:space="preserve">            </w:t>
            </w:r>
            <w:r>
              <w:rPr>
                <w:rFonts w:hint="eastAsia" w:ascii="宋体" w:hAnsi="宋体" w:cs="宋体"/>
                <w:sz w:val="24"/>
                <w:szCs w:val="24"/>
              </w:rPr>
              <w:t>□情节严重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72" w:type="pct"/>
            <w:gridSpan w:val="3"/>
            <w:vAlign w:val="center"/>
          </w:tcPr>
          <w:p>
            <w:pPr>
              <w:tabs>
                <w:tab w:val="center" w:pos="4153"/>
                <w:tab w:val="right" w:pos="8306"/>
              </w:tabs>
              <w:snapToGrid w:val="0"/>
              <w:spacing w:line="360" w:lineRule="auto"/>
              <w:jc w:val="center"/>
              <w:rPr>
                <w:rFonts w:ascii="宋体" w:hAnsi="宋体" w:cs="宋体"/>
                <w:sz w:val="24"/>
                <w:szCs w:val="24"/>
              </w:rPr>
            </w:pPr>
            <w:r>
              <w:rPr>
                <w:rFonts w:hint="eastAsia" w:ascii="宋体" w:hAnsi="宋体" w:cs="宋体"/>
                <w:sz w:val="24"/>
                <w:szCs w:val="24"/>
              </w:rPr>
              <w:t>审查决定</w:t>
            </w:r>
          </w:p>
        </w:tc>
        <w:tc>
          <w:tcPr>
            <w:tcW w:w="3628" w:type="pct"/>
            <w:gridSpan w:val="3"/>
            <w:vAlign w:val="center"/>
          </w:tcPr>
          <w:p>
            <w:pPr>
              <w:tabs>
                <w:tab w:val="center" w:pos="4153"/>
                <w:tab w:val="right" w:pos="8306"/>
              </w:tabs>
              <w:snapToGrid w:val="0"/>
              <w:spacing w:line="360" w:lineRule="auto"/>
              <w:ind w:firstLine="480" w:firstLineChars="200"/>
              <w:rPr>
                <w:rFonts w:ascii="宋体" w:hAnsi="宋体" w:cs="宋体"/>
                <w:sz w:val="24"/>
                <w:szCs w:val="24"/>
              </w:rPr>
            </w:pPr>
            <w:r>
              <w:rPr>
                <w:rFonts w:hint="eastAsia" w:ascii="宋体" w:hAnsi="宋体" w:cs="宋体"/>
                <w:sz w:val="24"/>
                <w:szCs w:val="24"/>
              </w:rPr>
              <w:t>□不采取更多措施，研究继续进行</w:t>
            </w:r>
          </w:p>
          <w:p>
            <w:pPr>
              <w:tabs>
                <w:tab w:val="center" w:pos="4153"/>
                <w:tab w:val="right" w:pos="8306"/>
              </w:tabs>
              <w:snapToGrid w:val="0"/>
              <w:spacing w:line="360" w:lineRule="auto"/>
              <w:ind w:firstLine="480" w:firstLineChars="200"/>
              <w:rPr>
                <w:rFonts w:ascii="宋体" w:hAnsi="宋体" w:cs="宋体"/>
                <w:sz w:val="24"/>
                <w:szCs w:val="24"/>
              </w:rPr>
            </w:pPr>
            <w:r>
              <w:rPr>
                <w:rFonts w:hint="eastAsia" w:ascii="宋体" w:hAnsi="宋体" w:cs="宋体"/>
                <w:sz w:val="24"/>
                <w:szCs w:val="24"/>
              </w:rPr>
              <w:t>□终止或暂停该临床试验</w:t>
            </w:r>
          </w:p>
          <w:p>
            <w:pPr>
              <w:tabs>
                <w:tab w:val="center" w:pos="4153"/>
                <w:tab w:val="right" w:pos="8306"/>
              </w:tabs>
              <w:snapToGrid w:val="0"/>
              <w:spacing w:line="360" w:lineRule="auto"/>
              <w:ind w:firstLine="480" w:firstLineChars="200"/>
              <w:rPr>
                <w:rFonts w:ascii="宋体" w:hAnsi="宋体" w:cs="宋体"/>
                <w:sz w:val="24"/>
                <w:szCs w:val="24"/>
              </w:rPr>
            </w:pPr>
            <w:r>
              <w:rPr>
                <w:rFonts w:hint="eastAsia" w:ascii="宋体" w:hAnsi="宋体" w:cs="宋体"/>
                <w:sz w:val="24"/>
                <w:szCs w:val="24"/>
              </w:rPr>
              <w:t>□采取其他措施，请描述：</w:t>
            </w:r>
          </w:p>
          <w:p>
            <w:pPr>
              <w:tabs>
                <w:tab w:val="center" w:pos="4153"/>
                <w:tab w:val="right" w:pos="8306"/>
              </w:tabs>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324" w:type="pct"/>
            <w:gridSpan w:val="4"/>
            <w:vAlign w:val="center"/>
          </w:tcPr>
          <w:p>
            <w:pPr>
              <w:tabs>
                <w:tab w:val="center" w:pos="4153"/>
                <w:tab w:val="right" w:pos="8306"/>
              </w:tabs>
              <w:snapToGrid w:val="0"/>
              <w:spacing w:line="360" w:lineRule="auto"/>
              <w:rPr>
                <w:rFonts w:ascii="宋体" w:hAnsi="宋体" w:cs="宋体"/>
                <w:sz w:val="24"/>
                <w:szCs w:val="24"/>
              </w:rPr>
            </w:pPr>
            <w:r>
              <w:rPr>
                <w:rFonts w:hint="eastAsia" w:ascii="宋体" w:hAnsi="宋体" w:cs="宋体"/>
                <w:sz w:val="24"/>
                <w:szCs w:val="24"/>
              </w:rPr>
              <w:t>（副）主任委员签名：</w:t>
            </w:r>
          </w:p>
        </w:tc>
        <w:tc>
          <w:tcPr>
            <w:tcW w:w="2676" w:type="pct"/>
            <w:gridSpan w:val="2"/>
            <w:vAlign w:val="center"/>
          </w:tcPr>
          <w:p>
            <w:pPr>
              <w:tabs>
                <w:tab w:val="center" w:pos="4153"/>
                <w:tab w:val="right" w:pos="8306"/>
              </w:tabs>
              <w:snapToGrid w:val="0"/>
              <w:spacing w:line="360" w:lineRule="auto"/>
              <w:rPr>
                <w:rFonts w:ascii="宋体" w:hAnsi="宋体" w:cs="宋体"/>
                <w:sz w:val="24"/>
                <w:szCs w:val="24"/>
              </w:rPr>
            </w:pPr>
            <w:r>
              <w:rPr>
                <w:rFonts w:hint="eastAsia" w:ascii="宋体" w:hAnsi="宋体" w:cs="宋体"/>
                <w:sz w:val="24"/>
                <w:szCs w:val="24"/>
              </w:rPr>
              <w:t>日期：</w:t>
            </w:r>
          </w:p>
        </w:tc>
      </w:tr>
    </w:tbl>
    <w:p>
      <w:pPr>
        <w:bidi w:val="0"/>
        <w:ind w:firstLine="328"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C62B3"/>
    <w:rsid w:val="077C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2024-09-25T07:46:00Z</dcterms:created>
  <dc:creator>段雪溪</dc:creator>
  <cp:lastModifiedBy>段雪溪</cp:lastModifiedBy>
  <dcterms:modified xsi:type="dcterms:W3CDTF">2024-09-25T08:10:56Z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B99DD494347C4910B850B8BBF89B0345</vt:lpwstr>
  </property>
</Properties>
</file>