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73142" w14:textId="77777777" w:rsidR="00AD4765" w:rsidRDefault="00AD4765" w:rsidP="00AD4765">
      <w:pPr>
        <w:tabs>
          <w:tab w:val="left" w:pos="750"/>
        </w:tabs>
        <w:rPr>
          <w:rFonts w:ascii="黑体" w:eastAsia="黑体" w:hAnsi="黑体" w:cs="黑体" w:hint="eastAsia"/>
          <w:bCs/>
          <w:color w:val="000000" w:themeColor="text1"/>
          <w:szCs w:val="21"/>
        </w:rPr>
      </w:pPr>
      <w:r>
        <w:rPr>
          <w:rFonts w:ascii="黑体" w:eastAsia="黑体" w:hAnsi="黑体" w:cs="黑体" w:hint="eastAsia"/>
          <w:b/>
          <w:color w:val="000000" w:themeColor="text1"/>
          <w:szCs w:val="21"/>
        </w:rPr>
        <w:t>项目内容</w:t>
      </w:r>
      <w:r>
        <w:rPr>
          <w:rFonts w:ascii="黑体" w:eastAsia="黑体" w:hAnsi="黑体" w:cs="黑体" w:hint="eastAsia"/>
          <w:bCs/>
          <w:color w:val="000000" w:themeColor="text1"/>
          <w:szCs w:val="21"/>
        </w:rPr>
        <w:t>：</w:t>
      </w:r>
    </w:p>
    <w:p w14:paraId="4BF9989A" w14:textId="220BDDC9" w:rsidR="00AD4765" w:rsidRDefault="00AD4765" w:rsidP="00AD4765">
      <w:pPr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3.1 </w:t>
      </w:r>
    </w:p>
    <w:p w14:paraId="2C238639" w14:textId="77777777" w:rsidR="00AD4765" w:rsidRDefault="00AD4765" w:rsidP="00AD4765">
      <w:pPr>
        <w:ind w:firstLineChars="200" w:firstLine="480"/>
        <w:rPr>
          <w:rFonts w:ascii="宋体" w:hAnsi="宋体" w:cs="宋体" w:hint="eastAsia"/>
          <w:sz w:val="24"/>
        </w:rPr>
      </w:pPr>
    </w:p>
    <w:tbl>
      <w:tblPr>
        <w:tblW w:w="8505" w:type="dxa"/>
        <w:tblInd w:w="93" w:type="dxa"/>
        <w:tblLook w:val="04A0" w:firstRow="1" w:lastRow="0" w:firstColumn="1" w:lastColumn="0" w:noHBand="0" w:noVBand="1"/>
      </w:tblPr>
      <w:tblGrid>
        <w:gridCol w:w="1080"/>
        <w:gridCol w:w="1935"/>
        <w:gridCol w:w="1080"/>
        <w:gridCol w:w="1080"/>
        <w:gridCol w:w="1080"/>
        <w:gridCol w:w="1170"/>
        <w:gridCol w:w="1080"/>
      </w:tblGrid>
      <w:tr w:rsidR="00AD4765" w14:paraId="427BB18D" w14:textId="77777777" w:rsidTr="00264AD3">
        <w:trPr>
          <w:trHeight w:val="615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E10B47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7A8313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分项名称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035966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单价（元）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8994AA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192C47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合价（元）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C4768F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周期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0532D3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是否进口</w:t>
            </w:r>
          </w:p>
        </w:tc>
      </w:tr>
      <w:tr w:rsidR="00AD4765" w14:paraId="6FAA72C5" w14:textId="77777777" w:rsidTr="00264AD3">
        <w:trPr>
          <w:trHeight w:val="31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575374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294BD4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01"/>
                <w:rFonts w:hint="default"/>
                <w:lang w:bidi="ar"/>
              </w:rPr>
              <w:t>目的基因测序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ED0D2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DC2BC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1473D8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00</w:t>
            </w:r>
          </w:p>
        </w:tc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AD2599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2-3个工作日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88296F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51"/>
                <w:rFonts w:hint="default"/>
                <w:sz w:val="22"/>
                <w:szCs w:val="22"/>
                <w:lang w:bidi="ar"/>
              </w:rPr>
              <w:t>否</w:t>
            </w:r>
          </w:p>
        </w:tc>
      </w:tr>
      <w:tr w:rsidR="00AD4765" w14:paraId="688F0534" w14:textId="77777777" w:rsidTr="00264AD3">
        <w:trPr>
          <w:trHeight w:val="1882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01DB89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500D3B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01"/>
                <w:rFonts w:hint="default"/>
                <w:lang w:bidi="ar"/>
              </w:rPr>
              <w:t>全基因组测序及</w:t>
            </w:r>
            <w:r>
              <w:rPr>
                <w:rStyle w:val="font61"/>
                <w:lang w:bidi="ar"/>
              </w:rPr>
              <w:t>SNP</w:t>
            </w:r>
            <w:r>
              <w:rPr>
                <w:rStyle w:val="font01"/>
                <w:rFonts w:hint="default"/>
                <w:lang w:bidi="ar"/>
              </w:rPr>
              <w:t>位点和进化树分析；细菌比较基因组学分析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187104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48577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00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70E5FE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0000</w:t>
            </w:r>
          </w:p>
        </w:tc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343137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21个工作日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50F335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51"/>
                <w:rFonts w:hint="default"/>
                <w:sz w:val="22"/>
                <w:szCs w:val="22"/>
                <w:lang w:bidi="ar"/>
              </w:rPr>
              <w:t>否</w:t>
            </w:r>
          </w:p>
        </w:tc>
      </w:tr>
      <w:tr w:rsidR="00AD4765" w14:paraId="3E891050" w14:textId="77777777" w:rsidTr="00264AD3">
        <w:trPr>
          <w:trHeight w:val="33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C78AA2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1E5485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01"/>
                <w:rFonts w:hint="default"/>
                <w:lang w:bidi="ar"/>
              </w:rPr>
              <w:t>引物序列合成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9D7331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5908D3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225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B46163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450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00</w:t>
            </w:r>
          </w:p>
        </w:tc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0911E4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3个工作日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004CA3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Style w:val="font51"/>
                <w:rFonts w:hint="default"/>
                <w:sz w:val="22"/>
                <w:szCs w:val="22"/>
                <w:lang w:bidi="ar"/>
              </w:rPr>
              <w:t>否</w:t>
            </w:r>
          </w:p>
        </w:tc>
      </w:tr>
      <w:tr w:rsidR="00AD4765" w14:paraId="4B4E4BD0" w14:textId="77777777" w:rsidTr="00264AD3">
        <w:trPr>
          <w:trHeight w:val="330"/>
        </w:trPr>
        <w:tc>
          <w:tcPr>
            <w:tcW w:w="409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4393B9" w14:textId="77777777" w:rsidR="00AD4765" w:rsidRDefault="00AD4765" w:rsidP="00264AD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总价（元）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86DEB2" w14:textId="77777777" w:rsidR="00AD4765" w:rsidRDefault="00AD4765" w:rsidP="00264A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1A3F3D" w14:textId="77777777" w:rsidR="00AD4765" w:rsidRDefault="00AD4765" w:rsidP="00264AD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0000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F8C235" w14:textId="77777777" w:rsidR="00AD4765" w:rsidRDefault="00AD4765" w:rsidP="00264AD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3F23D5" w14:textId="77777777" w:rsidR="00AD4765" w:rsidRDefault="00AD4765" w:rsidP="00264AD3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 w14:paraId="15BF5591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3.2 </w:t>
      </w:r>
      <w:r>
        <w:rPr>
          <w:rFonts w:asciiTheme="minorEastAsia" w:eastAsia="Songti SC" w:hAnsiTheme="minorEastAsia" w:cs="宋体" w:hint="eastAsia"/>
          <w:b/>
          <w:color w:val="000000" w:themeColor="text1"/>
          <w:szCs w:val="21"/>
        </w:rPr>
        <w:t>目的基因测序</w:t>
      </w:r>
    </w:p>
    <w:p w14:paraId="52C97E01" w14:textId="3E8308F7" w:rsidR="00AD4765" w:rsidRDefault="00A972C8" w:rsidP="00A972C8">
      <w:pPr>
        <w:pStyle w:val="Style2"/>
        <w:ind w:firstLineChars="0" w:firstLine="0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提供可信值不低于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700bp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左右的测序峰图文件和序列文件。</w:t>
      </w:r>
    </w:p>
    <w:p w14:paraId="20C56D8A" w14:textId="41A0F9FE" w:rsidR="00AD4765" w:rsidRDefault="00A972C8" w:rsidP="00A972C8">
      <w:pPr>
        <w:pStyle w:val="Style2"/>
        <w:ind w:firstLineChars="0" w:firstLine="0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2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测序样品，及引物可保存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个月。</w:t>
      </w:r>
    </w:p>
    <w:p w14:paraId="3CC985F4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3.3 </w:t>
      </w:r>
      <w:r>
        <w:rPr>
          <w:rFonts w:asciiTheme="minorEastAsia" w:eastAsia="Songti SC" w:hAnsiTheme="minorEastAsia" w:cs="宋体" w:hint="eastAsia"/>
          <w:b/>
          <w:color w:val="000000" w:themeColor="text1"/>
          <w:szCs w:val="21"/>
        </w:rPr>
        <w:t>引物序列合成</w:t>
      </w:r>
    </w:p>
    <w:p w14:paraId="1A24B1AB" w14:textId="0EF51805" w:rsidR="00AD4765" w:rsidRDefault="00A972C8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产品应为半透明或不透明片状、粉状或球状物质，引物形态的差异对产品质量没有影响，无异味，易溶于水中。</w:t>
      </w:r>
    </w:p>
    <w:p w14:paraId="0CC0A04D" w14:textId="2C2FDAAC" w:rsidR="00AD4765" w:rsidRDefault="00A972C8" w:rsidP="00AD4765">
      <w:pPr>
        <w:pStyle w:val="Style2"/>
        <w:rPr>
          <w:rFonts w:asciiTheme="minorEastAsia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2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各类产品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 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的碱基缺失率、浓度误差和分子量误差要求应符合表的规定</w:t>
      </w:r>
      <w:r w:rsidR="00AD4765">
        <w:rPr>
          <w:rFonts w:asciiTheme="minorEastAsia" w:hAnsiTheme="minorEastAsia" w:cs="宋体" w:hint="eastAsia"/>
          <w:bCs/>
          <w:color w:val="000000" w:themeColor="text1"/>
          <w:szCs w:val="21"/>
        </w:rPr>
        <w:t>。</w:t>
      </w:r>
    </w:p>
    <w:tbl>
      <w:tblPr>
        <w:tblStyle w:val="TableNormal"/>
        <w:tblpPr w:leftFromText="180" w:rightFromText="180" w:vertAnchor="text" w:horzAnchor="page" w:tblpX="1678" w:tblpY="245"/>
        <w:tblOverlap w:val="never"/>
        <w:tblW w:w="81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1478"/>
        <w:gridCol w:w="1518"/>
        <w:gridCol w:w="1508"/>
        <w:gridCol w:w="1443"/>
      </w:tblGrid>
      <w:tr w:rsidR="00AD4765" w14:paraId="1051A5C8" w14:textId="77777777" w:rsidTr="00264AD3">
        <w:trPr>
          <w:trHeight w:val="303"/>
        </w:trPr>
        <w:tc>
          <w:tcPr>
            <w:tcW w:w="2153" w:type="dxa"/>
            <w:vMerge w:val="restart"/>
            <w:tcBorders>
              <w:bottom w:val="nil"/>
            </w:tcBorders>
          </w:tcPr>
          <w:p w14:paraId="54D25FC5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2" w:line="220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5"/>
                <w:sz w:val="22"/>
                <w:szCs w:val="22"/>
              </w:rPr>
              <w:t>项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pacing w:val="-5"/>
                <w:sz w:val="22"/>
                <w:szCs w:val="22"/>
              </w:rPr>
              <w:t>目</w:t>
            </w:r>
          </w:p>
        </w:tc>
        <w:tc>
          <w:tcPr>
            <w:tcW w:w="5947" w:type="dxa"/>
            <w:gridSpan w:val="4"/>
          </w:tcPr>
          <w:p w14:paraId="25B0F271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3" w:line="222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要</w:t>
            </w:r>
            <w:r>
              <w:rPr>
                <w:rFonts w:ascii="宋体" w:hAnsi="宋体" w:cs="宋体" w:hint="eastAsia"/>
                <w:spacing w:val="4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求</w:t>
            </w:r>
          </w:p>
        </w:tc>
      </w:tr>
      <w:tr w:rsidR="00AD4765" w14:paraId="242331B2" w14:textId="77777777" w:rsidTr="00264AD3">
        <w:trPr>
          <w:trHeight w:val="308"/>
        </w:trPr>
        <w:tc>
          <w:tcPr>
            <w:tcW w:w="2153" w:type="dxa"/>
            <w:vMerge/>
            <w:tcBorders>
              <w:top w:val="nil"/>
            </w:tcBorders>
          </w:tcPr>
          <w:p w14:paraId="27519D22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478" w:type="dxa"/>
          </w:tcPr>
          <w:p w14:paraId="0105F307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199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8"/>
                <w:position w:val="2"/>
                <w:sz w:val="22"/>
                <w:szCs w:val="22"/>
              </w:rPr>
              <w:t>A、</w:t>
            </w:r>
            <w:r>
              <w:rPr>
                <w:rFonts w:ascii="宋体" w:hAnsi="宋体" w:cs="宋体" w:hint="eastAsia"/>
                <w:spacing w:val="-2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pacing w:val="-8"/>
                <w:sz w:val="22"/>
                <w:szCs w:val="22"/>
              </w:rPr>
              <w:t>A+类</w:t>
            </w:r>
          </w:p>
        </w:tc>
        <w:tc>
          <w:tcPr>
            <w:tcW w:w="1518" w:type="dxa"/>
          </w:tcPr>
          <w:p w14:paraId="5C490691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9" w:line="219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1"/>
                <w:sz w:val="22"/>
                <w:szCs w:val="22"/>
              </w:rPr>
              <w:t>B类</w:t>
            </w:r>
          </w:p>
        </w:tc>
        <w:tc>
          <w:tcPr>
            <w:tcW w:w="1508" w:type="dxa"/>
          </w:tcPr>
          <w:p w14:paraId="788DDD43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9" w:line="219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1"/>
                <w:sz w:val="22"/>
                <w:szCs w:val="22"/>
              </w:rPr>
              <w:t>C类</w:t>
            </w:r>
          </w:p>
        </w:tc>
        <w:tc>
          <w:tcPr>
            <w:tcW w:w="1443" w:type="dxa"/>
          </w:tcPr>
          <w:p w14:paraId="756E50EB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9" w:line="219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1"/>
                <w:sz w:val="22"/>
                <w:szCs w:val="22"/>
              </w:rPr>
              <w:t>D类</w:t>
            </w:r>
          </w:p>
        </w:tc>
      </w:tr>
      <w:tr w:rsidR="00AD4765" w14:paraId="1C1F2BD0" w14:textId="77777777" w:rsidTr="00264AD3">
        <w:trPr>
          <w:trHeight w:val="318"/>
        </w:trPr>
        <w:tc>
          <w:tcPr>
            <w:tcW w:w="2153" w:type="dxa"/>
          </w:tcPr>
          <w:p w14:paraId="753649E9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219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4"/>
                <w:sz w:val="22"/>
                <w:szCs w:val="22"/>
              </w:rPr>
              <w:t>碱基缺失率(%)</w:t>
            </w:r>
          </w:p>
        </w:tc>
        <w:tc>
          <w:tcPr>
            <w:tcW w:w="1478" w:type="dxa"/>
          </w:tcPr>
          <w:p w14:paraId="3EBE5E17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6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7"/>
                <w:sz w:val="22"/>
                <w:szCs w:val="22"/>
              </w:rPr>
              <w:t>≤3</w:t>
            </w:r>
          </w:p>
        </w:tc>
        <w:tc>
          <w:tcPr>
            <w:tcW w:w="1518" w:type="dxa"/>
          </w:tcPr>
          <w:p w14:paraId="282C684E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6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7"/>
                <w:sz w:val="22"/>
                <w:szCs w:val="22"/>
              </w:rPr>
              <w:t>≤6</w:t>
            </w:r>
          </w:p>
        </w:tc>
        <w:tc>
          <w:tcPr>
            <w:tcW w:w="1508" w:type="dxa"/>
          </w:tcPr>
          <w:p w14:paraId="4AAA4AE8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6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5"/>
                <w:sz w:val="22"/>
                <w:szCs w:val="22"/>
              </w:rPr>
              <w:t>≤10</w:t>
            </w:r>
          </w:p>
        </w:tc>
        <w:tc>
          <w:tcPr>
            <w:tcW w:w="1443" w:type="dxa"/>
          </w:tcPr>
          <w:p w14:paraId="02088691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6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5"/>
                <w:sz w:val="22"/>
                <w:szCs w:val="22"/>
              </w:rPr>
              <w:t>≤12</w:t>
            </w:r>
          </w:p>
        </w:tc>
      </w:tr>
      <w:tr w:rsidR="00AD4765" w14:paraId="6DAC331C" w14:textId="77777777" w:rsidTr="00264AD3">
        <w:trPr>
          <w:trHeight w:val="298"/>
        </w:trPr>
        <w:tc>
          <w:tcPr>
            <w:tcW w:w="2153" w:type="dxa"/>
          </w:tcPr>
          <w:p w14:paraId="72E09ACF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3" w:line="220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6"/>
                <w:sz w:val="22"/>
                <w:szCs w:val="22"/>
              </w:rPr>
              <w:t>浓度误差(%)</w:t>
            </w:r>
          </w:p>
        </w:tc>
        <w:tc>
          <w:tcPr>
            <w:tcW w:w="5947" w:type="dxa"/>
            <w:gridSpan w:val="4"/>
          </w:tcPr>
          <w:p w14:paraId="2D9FFCA6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8" w:line="228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5"/>
                <w:sz w:val="22"/>
                <w:szCs w:val="22"/>
              </w:rPr>
              <w:t>≤10</w:t>
            </w:r>
          </w:p>
        </w:tc>
      </w:tr>
      <w:tr w:rsidR="00AD4765" w14:paraId="581EEED2" w14:textId="77777777" w:rsidTr="00264AD3">
        <w:trPr>
          <w:trHeight w:val="313"/>
        </w:trPr>
        <w:tc>
          <w:tcPr>
            <w:tcW w:w="2153" w:type="dxa"/>
          </w:tcPr>
          <w:p w14:paraId="0231ABF7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line="220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4"/>
                <w:sz w:val="22"/>
                <w:szCs w:val="22"/>
              </w:rPr>
              <w:t>分子量误差(%)</w:t>
            </w:r>
          </w:p>
        </w:tc>
        <w:tc>
          <w:tcPr>
            <w:tcW w:w="5947" w:type="dxa"/>
            <w:gridSpan w:val="4"/>
          </w:tcPr>
          <w:p w14:paraId="469EE0B2" w14:textId="77777777" w:rsidR="00AD4765" w:rsidRDefault="00AD4765" w:rsidP="00264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0" w:line="236" w:lineRule="auto"/>
              <w:ind w:leftChars="100" w:left="210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≤0.05</w:t>
            </w:r>
          </w:p>
        </w:tc>
      </w:tr>
    </w:tbl>
    <w:p w14:paraId="35BCDD2F" w14:textId="2CE775F4" w:rsidR="00AD4765" w:rsidRDefault="00A972C8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3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浓度检测试验</w:t>
      </w:r>
    </w:p>
    <w:p w14:paraId="297E2752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/>
          <w:bCs/>
          <w:color w:val="000000" w:themeColor="text1"/>
          <w:szCs w:val="21"/>
        </w:rPr>
        <w:t>应采用紫外可见分光光度计部设定吸光度为波长</w:t>
      </w:r>
      <w:r>
        <w:rPr>
          <w:rFonts w:asciiTheme="minorEastAsia" w:eastAsia="Songti SC" w:hAnsiTheme="minorEastAsia" w:cs="宋体"/>
          <w:bCs/>
          <w:color w:val="000000" w:themeColor="text1"/>
          <w:szCs w:val="21"/>
        </w:rPr>
        <w:t xml:space="preserve">260nm </w:t>
      </w:r>
      <w:r>
        <w:rPr>
          <w:rFonts w:asciiTheme="minorEastAsia" w:eastAsia="Songti SC" w:hAnsiTheme="minorEastAsia" w:cs="宋体"/>
          <w:bCs/>
          <w:color w:val="000000" w:themeColor="text1"/>
          <w:szCs w:val="21"/>
        </w:rPr>
        <w:t>进行产品浓度检测试验。</w:t>
      </w:r>
    </w:p>
    <w:p w14:paraId="67B7470F" w14:textId="3CD4F502" w:rsidR="00AD4765" w:rsidRDefault="00A972C8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4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 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贮存</w:t>
      </w:r>
    </w:p>
    <w:p w14:paraId="7D2DF538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 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产品短期贮存应存放在阴凉干燥处，长期贮存应存放在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 - 20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℃环境中，干粉成品保质期为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24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个月；溶液成品保质期：去离子水溶液为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6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个月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 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，</w:t>
      </w:r>
      <w:proofErr w:type="spellStart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LowTE</w:t>
      </w:r>
      <w:proofErr w:type="spellEnd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 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溶液为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12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个月。</w:t>
      </w:r>
    </w:p>
    <w:p w14:paraId="67255F53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3.4</w:t>
      </w:r>
      <w:r>
        <w:rPr>
          <w:rFonts w:asciiTheme="minorEastAsia" w:eastAsia="Songti SC" w:hAnsiTheme="minorEastAsia" w:cs="宋体" w:hint="eastAsia"/>
          <w:b/>
          <w:color w:val="000000" w:themeColor="text1"/>
          <w:szCs w:val="21"/>
        </w:rPr>
        <w:t xml:space="preserve"> </w:t>
      </w:r>
      <w:r>
        <w:rPr>
          <w:rFonts w:asciiTheme="minorEastAsia" w:eastAsia="Songti SC" w:hAnsiTheme="minorEastAsia" w:cs="宋体" w:hint="eastAsia"/>
          <w:b/>
          <w:color w:val="000000" w:themeColor="text1"/>
          <w:szCs w:val="21"/>
        </w:rPr>
        <w:t>全基因组测序及</w:t>
      </w:r>
      <w:r>
        <w:rPr>
          <w:rFonts w:asciiTheme="minorEastAsia" w:eastAsia="Songti SC" w:hAnsiTheme="minorEastAsia" w:cs="宋体" w:hint="eastAsia"/>
          <w:b/>
          <w:color w:val="000000" w:themeColor="text1"/>
          <w:szCs w:val="21"/>
        </w:rPr>
        <w:t>SNP</w:t>
      </w:r>
      <w:r>
        <w:rPr>
          <w:rFonts w:asciiTheme="minorEastAsia" w:eastAsia="Songti SC" w:hAnsiTheme="minorEastAsia" w:cs="宋体" w:hint="eastAsia"/>
          <w:b/>
          <w:color w:val="000000" w:themeColor="text1"/>
          <w:szCs w:val="21"/>
        </w:rPr>
        <w:t>位点和进化树分析，细菌比较基因组学分析。</w:t>
      </w:r>
    </w:p>
    <w:p w14:paraId="0AFD661A" w14:textId="1809E17B" w:rsidR="00AD4765" w:rsidRDefault="00A972C8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 xml:space="preserve"> 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实验室要求</w:t>
      </w:r>
    </w:p>
    <w:p w14:paraId="3642A546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实验室搭载二代及三代测序技术平台，测序仪总数超过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10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台，需具备自主测序平台和数据分析能力。实验室需通过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ISO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系列资质认证，有完备的质量管理流程、有完备的项目管理系统。</w:t>
      </w:r>
    </w:p>
    <w:p w14:paraId="35CB4041" w14:textId="783655D9" w:rsidR="00AD4765" w:rsidRDefault="00A972C8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2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、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数据和分析要求</w:t>
      </w:r>
    </w:p>
    <w:p w14:paraId="516CBE93" w14:textId="57884CC8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</w:t>
      </w:r>
      <w:r w:rsidR="00A972C8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）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.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交付数据包括原始数据（</w:t>
      </w:r>
      <w:proofErr w:type="spellStart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rawdata</w:t>
      </w:r>
      <w:proofErr w:type="spellEnd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和</w:t>
      </w:r>
      <w:proofErr w:type="spellStart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cleandata</w:t>
      </w:r>
      <w:proofErr w:type="spellEnd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，数据格式为</w:t>
      </w:r>
      <w:proofErr w:type="spellStart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fastq</w:t>
      </w:r>
      <w:proofErr w:type="spellEnd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）</w:t>
      </w:r>
    </w:p>
    <w:p w14:paraId="53D7F9BF" w14:textId="22F684AD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2</w:t>
      </w:r>
      <w:r w:rsidR="00A972C8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）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.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利用二代测序平台，文库长度在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250~350bp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之间，采用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PE150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（双端测序，单向读长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150bp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）及以上测序模式；</w:t>
      </w:r>
    </w:p>
    <w:p w14:paraId="33440D8C" w14:textId="623A5819" w:rsidR="00AD4765" w:rsidRDefault="00A972C8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3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）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.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原始数据量（碱基数）≥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1G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，二代碱基数据平均质量值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Q30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比例≥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85%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，三代碱基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lastRenderedPageBreak/>
        <w:t>数据平均质量值≥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7</w:t>
      </w:r>
    </w:p>
    <w:p w14:paraId="54C891E5" w14:textId="747FBDD0" w:rsidR="00AD4765" w:rsidRDefault="00A972C8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4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）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.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项目拼接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contig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个数小于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5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个（若含有多个质粒，不对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contig</w:t>
      </w:r>
      <w:r w:rsidR="00AD4765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个数做规定）</w:t>
      </w:r>
    </w:p>
    <w:p w14:paraId="2D91D675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</w:p>
    <w:p w14:paraId="4EDD1F4B" w14:textId="63A1C27B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3.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分析内容包含如下：</w:t>
      </w:r>
    </w:p>
    <w:p w14:paraId="62904632" w14:textId="77777777" w:rsidR="000D127A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测序数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NR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库比对注释据（二代和三代）质量评估及质控，基因组拼接，基因元件预测</w:t>
      </w:r>
      <w:r w:rsidR="000D127A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；</w:t>
      </w:r>
    </w:p>
    <w:p w14:paraId="1ADCDEDA" w14:textId="026CCF10" w:rsidR="000D127A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基因功能注释，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COG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功能分类注释，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GO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功能分类注释，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KEGG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功能分类注释，基因组圈图展示</w:t>
      </w:r>
      <w:r w:rsidR="000D127A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；</w:t>
      </w:r>
    </w:p>
    <w:p w14:paraId="59803095" w14:textId="5262CD89" w:rsidR="000D127A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毒力因子注释，耐药功能注释，碳水化合物活性酶注释，病原宿主互作用</w:t>
      </w:r>
      <w:r w:rsidR="000D127A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；</w:t>
      </w:r>
    </w:p>
    <w:p w14:paraId="024819CD" w14:textId="77777777" w:rsidR="000D127A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ARGS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功能注释，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TCDB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转运蛋白功能注释，</w:t>
      </w:r>
      <w:proofErr w:type="spellStart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BacMet</w:t>
      </w:r>
      <w:proofErr w:type="spellEnd"/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重金属抗性功能注释</w:t>
      </w:r>
      <w:r w:rsidR="000D127A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；</w:t>
      </w:r>
    </w:p>
    <w:p w14:paraId="550E5BF1" w14:textId="77777777" w:rsidR="000D127A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跨膜蛋白分析，信号肽蛋白预测，脂蛋白预测，蛋白亚细胞定位，基因组岛预测</w:t>
      </w:r>
      <w:r w:rsidR="000D127A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；</w:t>
      </w:r>
    </w:p>
    <w:p w14:paraId="0890AA28" w14:textId="154CB78A" w:rsidR="000D127A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前噬菌体预测，次生代谢基因簇分析</w:t>
      </w:r>
      <w:r w:rsidR="000D127A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；</w:t>
      </w:r>
    </w:p>
    <w:p w14:paraId="14066374" w14:textId="3B29DB43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基于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16S rRNA</w:t>
      </w:r>
      <w:r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的系统发育树，平均核苷酸一致性分析，泛基因组分析，系统发育树，全基因组共线性分析</w:t>
      </w:r>
      <w:r w:rsidR="000D127A"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  <w:t>。</w:t>
      </w:r>
    </w:p>
    <w:p w14:paraId="54221F7F" w14:textId="77777777" w:rsidR="00AD4765" w:rsidRDefault="00AD4765" w:rsidP="00AD4765">
      <w:pPr>
        <w:pStyle w:val="Style2"/>
        <w:rPr>
          <w:rFonts w:asciiTheme="minorEastAsia" w:eastAsia="Songti SC" w:hAnsiTheme="minorEastAsia" w:cs="宋体" w:hint="eastAsia"/>
          <w:bCs/>
          <w:color w:val="000000" w:themeColor="text1"/>
          <w:szCs w:val="21"/>
        </w:rPr>
      </w:pPr>
    </w:p>
    <w:p w14:paraId="22AFA847" w14:textId="77777777" w:rsidR="00AD0FDC" w:rsidRPr="00AD4765" w:rsidRDefault="00AD0FDC"/>
    <w:sectPr w:rsidR="00AD0FDC" w:rsidRPr="00AD4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A835F" w14:textId="77777777" w:rsidR="00CE17AC" w:rsidRDefault="00CE17AC" w:rsidP="00A972C8">
      <w:r>
        <w:separator/>
      </w:r>
    </w:p>
  </w:endnote>
  <w:endnote w:type="continuationSeparator" w:id="0">
    <w:p w14:paraId="7C5EC803" w14:textId="77777777" w:rsidR="00CE17AC" w:rsidRDefault="00CE17AC" w:rsidP="00A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ongti SC">
    <w:altName w:val="宋体"/>
    <w:charset w:val="86"/>
    <w:family w:val="auto"/>
    <w:pitch w:val="default"/>
    <w:sig w:usb0="00000000" w:usb1="00000000" w:usb2="00000000" w:usb3="00000000" w:csb0="0016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B8A95" w14:textId="77777777" w:rsidR="00CE17AC" w:rsidRDefault="00CE17AC" w:rsidP="00A972C8">
      <w:r>
        <w:separator/>
      </w:r>
    </w:p>
  </w:footnote>
  <w:footnote w:type="continuationSeparator" w:id="0">
    <w:p w14:paraId="730F885F" w14:textId="77777777" w:rsidR="00CE17AC" w:rsidRDefault="00CE17AC" w:rsidP="00A97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765"/>
    <w:rsid w:val="000D127A"/>
    <w:rsid w:val="00746AA3"/>
    <w:rsid w:val="00896794"/>
    <w:rsid w:val="008F0DC2"/>
    <w:rsid w:val="00A972C8"/>
    <w:rsid w:val="00AD0FDC"/>
    <w:rsid w:val="00AD4765"/>
    <w:rsid w:val="00CE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D37D12"/>
  <w15:chartTrackingRefBased/>
  <w15:docId w15:val="{B1EA2634-BC5E-4B54-A484-2DD53803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7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_Style 2"/>
    <w:basedOn w:val="a"/>
    <w:uiPriority w:val="34"/>
    <w:qFormat/>
    <w:rsid w:val="00AD4765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font01">
    <w:name w:val="font01"/>
    <w:basedOn w:val="a0"/>
    <w:qFormat/>
    <w:rsid w:val="00AD4765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sid w:val="00AD4765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61">
    <w:name w:val="font61"/>
    <w:basedOn w:val="a0"/>
    <w:qFormat/>
    <w:rsid w:val="00AD4765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table" w:customStyle="1" w:styleId="TableNormal">
    <w:name w:val="Table Normal"/>
    <w:semiHidden/>
    <w:unhideWhenUsed/>
    <w:qFormat/>
    <w:rsid w:val="00AD4765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972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72C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7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72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Yi</dc:creator>
  <cp:keywords/>
  <dc:description/>
  <cp:lastModifiedBy>Liu Yi</cp:lastModifiedBy>
  <cp:revision>3</cp:revision>
  <dcterms:created xsi:type="dcterms:W3CDTF">2024-08-22T09:55:00Z</dcterms:created>
  <dcterms:modified xsi:type="dcterms:W3CDTF">2024-08-27T02:10:00Z</dcterms:modified>
</cp:coreProperties>
</file>