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A89F">
      <w:pPr>
        <w:numPr>
          <w:ilvl w:val="255"/>
          <w:numId w:val="0"/>
        </w:numPr>
        <w:ind w:firstLine="612" w:firstLineChars="300"/>
        <w:rPr>
          <w:rFonts w:hint="eastAsia" w:ascii="微软雅黑" w:hAnsi="微软雅黑" w:eastAsia="微软雅黑" w:cs="微软雅黑"/>
          <w:spacing w:val="-10"/>
          <w:position w:val="24"/>
          <w:lang w:eastAsia="zh-CN"/>
        </w:rPr>
      </w:pPr>
      <w:r>
        <w:rPr>
          <w:rFonts w:hint="eastAsia" w:ascii="微软雅黑" w:hAnsi="微软雅黑" w:eastAsia="微软雅黑" w:cs="微软雅黑"/>
          <w:spacing w:val="-3"/>
          <w:lang w:eastAsia="zh-CN"/>
        </w:rPr>
        <w:t>1. 项目明细</w:t>
      </w:r>
      <w:r>
        <w:rPr>
          <w:rFonts w:ascii="微软雅黑" w:hAnsi="微软雅黑" w:eastAsia="微软雅黑" w:cs="微软雅黑"/>
          <w:spacing w:val="-3"/>
          <w:lang w:eastAsia="zh-CN"/>
        </w:rPr>
        <w:t>：</w:t>
      </w:r>
    </w:p>
    <w:p w14:paraId="6B2B9B86">
      <w:pPr>
        <w:numPr>
          <w:ilvl w:val="255"/>
          <w:numId w:val="0"/>
        </w:numPr>
        <w:spacing w:before="255" w:line="178" w:lineRule="auto"/>
        <w:rPr>
          <w:lang w:eastAsia="zh-CN"/>
        </w:rPr>
      </w:pPr>
    </w:p>
    <w:tbl>
      <w:tblPr>
        <w:tblStyle w:val="5"/>
        <w:tblW w:w="361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2531"/>
        <w:gridCol w:w="973"/>
        <w:gridCol w:w="963"/>
        <w:gridCol w:w="1090"/>
      </w:tblGrid>
      <w:tr w14:paraId="3324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87" w:type="pct"/>
            <w:vAlign w:val="center"/>
          </w:tcPr>
          <w:p w14:paraId="02FA53A0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序号</w:t>
            </w:r>
          </w:p>
        </w:tc>
        <w:tc>
          <w:tcPr>
            <w:tcW w:w="2055" w:type="pct"/>
            <w:vAlign w:val="center"/>
          </w:tcPr>
          <w:p w14:paraId="5866E2FC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分项名称</w:t>
            </w:r>
          </w:p>
        </w:tc>
        <w:tc>
          <w:tcPr>
            <w:tcW w:w="790" w:type="pct"/>
            <w:vAlign w:val="center"/>
          </w:tcPr>
          <w:p w14:paraId="7E1ED0C9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单价（元）</w:t>
            </w:r>
          </w:p>
        </w:tc>
        <w:tc>
          <w:tcPr>
            <w:tcW w:w="782" w:type="pct"/>
            <w:vAlign w:val="center"/>
          </w:tcPr>
          <w:p w14:paraId="7F3CADCB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数量（例）</w:t>
            </w:r>
          </w:p>
        </w:tc>
        <w:tc>
          <w:tcPr>
            <w:tcW w:w="885" w:type="pct"/>
            <w:vAlign w:val="center"/>
          </w:tcPr>
          <w:p w14:paraId="55E451D6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合价（元）</w:t>
            </w:r>
          </w:p>
        </w:tc>
      </w:tr>
      <w:tr w14:paraId="2510A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87" w:type="pct"/>
            <w:vAlign w:val="center"/>
          </w:tcPr>
          <w:p w14:paraId="14951BBC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1</w:t>
            </w:r>
          </w:p>
        </w:tc>
        <w:tc>
          <w:tcPr>
            <w:tcW w:w="2055" w:type="pct"/>
            <w:vAlign w:val="center"/>
          </w:tcPr>
          <w:p w14:paraId="3755B91D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lang w:eastAsia="zh-CN"/>
              </w:rPr>
              <w:t>Astral  DIA蛋白质组检测与分析</w:t>
            </w:r>
          </w:p>
        </w:tc>
        <w:tc>
          <w:tcPr>
            <w:tcW w:w="790" w:type="pct"/>
            <w:vAlign w:val="center"/>
          </w:tcPr>
          <w:p w14:paraId="6EAB61C1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1600</w:t>
            </w:r>
          </w:p>
        </w:tc>
        <w:tc>
          <w:tcPr>
            <w:tcW w:w="782" w:type="pct"/>
            <w:vAlign w:val="center"/>
          </w:tcPr>
          <w:p w14:paraId="3FD2093F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100</w:t>
            </w:r>
          </w:p>
        </w:tc>
        <w:tc>
          <w:tcPr>
            <w:tcW w:w="885" w:type="pct"/>
            <w:vAlign w:val="center"/>
          </w:tcPr>
          <w:p w14:paraId="77B99185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160000</w:t>
            </w:r>
          </w:p>
        </w:tc>
      </w:tr>
      <w:tr w14:paraId="30C81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87" w:type="pct"/>
            <w:vAlign w:val="center"/>
          </w:tcPr>
          <w:p w14:paraId="0A02A571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kern w:val="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2</w:t>
            </w:r>
          </w:p>
        </w:tc>
        <w:tc>
          <w:tcPr>
            <w:tcW w:w="2055" w:type="pct"/>
            <w:vAlign w:val="center"/>
          </w:tcPr>
          <w:p w14:paraId="22919ED8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kern w:val="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lang w:eastAsia="zh-CN"/>
              </w:rPr>
              <w:t>非靶代谢组检测与分析</w:t>
            </w:r>
          </w:p>
        </w:tc>
        <w:tc>
          <w:tcPr>
            <w:tcW w:w="790" w:type="pct"/>
            <w:vAlign w:val="center"/>
          </w:tcPr>
          <w:p w14:paraId="47878030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kern w:val="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300</w:t>
            </w:r>
          </w:p>
        </w:tc>
        <w:tc>
          <w:tcPr>
            <w:tcW w:w="782" w:type="pct"/>
            <w:vAlign w:val="center"/>
          </w:tcPr>
          <w:p w14:paraId="344D825C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50</w:t>
            </w:r>
          </w:p>
        </w:tc>
        <w:tc>
          <w:tcPr>
            <w:tcW w:w="885" w:type="pct"/>
            <w:vAlign w:val="center"/>
          </w:tcPr>
          <w:p w14:paraId="1C8EE3DB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15000</w:t>
            </w:r>
          </w:p>
        </w:tc>
      </w:tr>
      <w:tr w14:paraId="4526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4114" w:type="pct"/>
            <w:gridSpan w:val="4"/>
            <w:vAlign w:val="center"/>
          </w:tcPr>
          <w:p w14:paraId="078C23DD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总价（元）</w:t>
            </w:r>
          </w:p>
        </w:tc>
        <w:tc>
          <w:tcPr>
            <w:tcW w:w="885" w:type="pct"/>
            <w:vAlign w:val="center"/>
          </w:tcPr>
          <w:p w14:paraId="264877C1">
            <w:pPr>
              <w:spacing w:line="36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lang w:eastAsia="zh-CN"/>
              </w:rPr>
              <w:t>175000</w:t>
            </w:r>
          </w:p>
        </w:tc>
      </w:tr>
    </w:tbl>
    <w:p w14:paraId="01CCFFCE">
      <w:pPr>
        <w:numPr>
          <w:ilvl w:val="0"/>
          <w:numId w:val="1"/>
        </w:numPr>
        <w:spacing w:before="180"/>
        <w:ind w:left="636" w:leftChars="303" w:right="708" w:rightChars="337"/>
        <w:rPr>
          <w:rFonts w:hint="eastAsia" w:ascii="微软雅黑" w:hAnsi="微软雅黑" w:eastAsia="微软雅黑" w:cs="微软雅黑"/>
          <w:spacing w:val="-4"/>
          <w:lang w:eastAsia="zh-CN"/>
        </w:rPr>
      </w:pPr>
      <w:r>
        <w:rPr>
          <w:rFonts w:hint="eastAsia" w:ascii="微软雅黑" w:hAnsi="微软雅黑" w:eastAsia="微软雅黑" w:cs="微软雅黑"/>
          <w:spacing w:val="-4"/>
          <w:lang w:eastAsia="zh-CN"/>
        </w:rPr>
        <w:t>实验内容</w:t>
      </w:r>
    </w:p>
    <w:p w14:paraId="307E2162">
      <w:pPr>
        <w:pStyle w:val="2"/>
        <w:numPr>
          <w:ilvl w:val="255"/>
          <w:numId w:val="0"/>
        </w:numPr>
        <w:tabs>
          <w:tab w:val="left" w:pos="11970"/>
        </w:tabs>
        <w:spacing w:before="180"/>
        <w:ind w:right="554" w:rightChars="264" w:firstLine="840" w:firstLineChars="400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2.1 Astral  DIA蛋白质组检测与分析</w:t>
      </w:r>
    </w:p>
    <w:p w14:paraId="71D37222">
      <w:pPr>
        <w:pStyle w:val="2"/>
        <w:numPr>
          <w:ilvl w:val="255"/>
          <w:numId w:val="0"/>
        </w:numPr>
        <w:tabs>
          <w:tab w:val="left" w:pos="11970"/>
        </w:tabs>
        <w:spacing w:before="180"/>
        <w:ind w:right="554" w:rightChars="264" w:firstLine="420" w:firstLineChars="200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 xml:space="preserve">       1）样本类型：血清或血浆样本。</w:t>
      </w:r>
      <w:bookmarkStart w:id="0" w:name="_GoBack"/>
      <w:bookmarkEnd w:id="0"/>
    </w:p>
    <w:p w14:paraId="57CE88C6">
      <w:pPr>
        <w:pStyle w:val="2"/>
        <w:tabs>
          <w:tab w:val="left" w:pos="11970"/>
        </w:tabs>
        <w:spacing w:before="180"/>
        <w:ind w:right="554" w:rightChars="264" w:firstLine="840" w:firstLineChars="400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2） 实验标准：</w:t>
      </w:r>
    </w:p>
    <w:p w14:paraId="14898CFD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（1）蛋白质提取需在ISO 9001认证、CNAS认证实验室操作。需基于高分辨质谱仪--Thermo Orbitrap Astral进行检测，检测模式提供60SPD模式，数据采集方式为DIA数据非依赖性采集方式。</w:t>
      </w:r>
    </w:p>
    <w:p w14:paraId="7BF27AA8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（2）蛋白定性定量：下机原始数据使用Spectronaut软件（版本号最新版本18）进行搜库（swiss-prot或uniprot 物种蛋白公共数据库），匹配二级谱图库进行定性定量。</w:t>
      </w:r>
    </w:p>
    <w:p w14:paraId="20587A71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3）生信分析标准：</w:t>
      </w:r>
    </w:p>
    <w:p w14:paraId="358C28D6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 xml:space="preserve">（1）原始数据搜库解谱和数据质控；样本比较分析(样本相关性热图，PCA分析)；全蛋白功能注释；差异蛋白分析；具备astral-DIA个性化分析能力，如转录组与蛋白质组关联分析；具备大样本生信分析能力： </w:t>
      </w:r>
    </w:p>
    <w:p w14:paraId="7E7A545F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（2）项目周期：每批次样本服务周期不超过30个工作日。</w:t>
      </w:r>
    </w:p>
    <w:p w14:paraId="4836078A">
      <w:pPr>
        <w:pStyle w:val="2"/>
        <w:tabs>
          <w:tab w:val="left" w:pos="11970"/>
        </w:tabs>
        <w:ind w:left="1024" w:leftChars="393" w:right="554" w:rightChars="264" w:hanging="199" w:hangingChars="99"/>
        <w:rPr>
          <w:rFonts w:hint="eastAsia" w:ascii="微软雅黑" w:hAnsi="微软雅黑" w:eastAsia="微软雅黑" w:cs="微软雅黑"/>
          <w:spacing w:val="-4"/>
          <w:highlight w:val="none"/>
          <w:lang w:eastAsia="zh-CN"/>
        </w:rPr>
      </w:pPr>
    </w:p>
    <w:p w14:paraId="5BCC0F4D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2.2 非靶代谢组检测与分析：</w:t>
      </w:r>
    </w:p>
    <w:p w14:paraId="3E73D277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1）样本类型：血清样本或血浆样本。。</w:t>
      </w:r>
    </w:p>
    <w:p w14:paraId="7C5E02BB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2）实验标准：</w:t>
      </w:r>
    </w:p>
    <w:p w14:paraId="79E672FA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 xml:space="preserve">（1）实验需在ISO 9001认证、CNAS认证实验室操作，实验需基于超高效液相色谱串联傅里叶变换质谱 系统进行检测，数据采集方式：采用DDA数据依赖性采集方式。 </w:t>
      </w:r>
    </w:p>
    <w:p w14:paraId="18D5D4E3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（2）代谢物定性：下机原始数据使用主流的代谢组学搜库软件Waters Progenesis QI3.0进行搜库。</w:t>
      </w:r>
    </w:p>
    <w:p w14:paraId="0B1ED892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3）生信分析标准：数据预处理；样本比较分析；代谢物注释信息； 差异代谢物分析； 代谢集分析等。</w:t>
      </w:r>
    </w:p>
    <w:p w14:paraId="407A9F95">
      <w:pPr>
        <w:pStyle w:val="2"/>
        <w:tabs>
          <w:tab w:val="left" w:pos="11970"/>
        </w:tabs>
        <w:spacing w:before="180"/>
        <w:ind w:left="1032" w:leftChars="393" w:right="554" w:rightChars="264" w:hanging="207" w:hangingChars="99"/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position w:val="-27"/>
          <w:highlight w:val="none"/>
          <w:lang w:eastAsia="zh-CN"/>
        </w:rPr>
        <w:t>4）项目周期：每批次样本服务周期不超过30个工作日。</w:t>
      </w:r>
    </w:p>
    <w:p w14:paraId="77DCF40F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34AAFB"/>
    <w:multiLevelType w:val="multilevel"/>
    <w:tmpl w:val="B634AAFB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kMDU0NmE3NWU1Mzc1MWE4NzEwY2ZmMTFmZDEyZTEifQ=="/>
  </w:docVars>
  <w:rsids>
    <w:rsidRoot w:val="00150F2E"/>
    <w:rsid w:val="000902B1"/>
    <w:rsid w:val="000D637D"/>
    <w:rsid w:val="00150F2E"/>
    <w:rsid w:val="0060502C"/>
    <w:rsid w:val="006621F0"/>
    <w:rsid w:val="00746AA3"/>
    <w:rsid w:val="00896794"/>
    <w:rsid w:val="008F0DC2"/>
    <w:rsid w:val="0094445C"/>
    <w:rsid w:val="00AD0FDC"/>
    <w:rsid w:val="050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qFormat/>
    <w:uiPriority w:val="0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semiHidden/>
    <w:qFormat/>
    <w:uiPriority w:val="0"/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character" w:customStyle="1" w:styleId="8">
    <w:name w:val="页眉 字符"/>
    <w:basedOn w:val="6"/>
    <w:link w:val="4"/>
    <w:uiPriority w:val="99"/>
    <w:rPr>
      <w:rFonts w:ascii="Arial" w:hAnsi="Arial" w:eastAsia="Arial" w:cs="Arial"/>
      <w:snapToGrid w:val="0"/>
      <w:color w:val="000000"/>
      <w:kern w:val="0"/>
      <w:sz w:val="18"/>
      <w:szCs w:val="18"/>
      <w:lang w:eastAsia="en-US"/>
    </w:rPr>
  </w:style>
  <w:style w:type="character" w:customStyle="1" w:styleId="9">
    <w:name w:val="页脚 字符"/>
    <w:basedOn w:val="6"/>
    <w:link w:val="3"/>
    <w:uiPriority w:val="99"/>
    <w:rPr>
      <w:rFonts w:ascii="Arial" w:hAnsi="Arial" w:eastAsia="Arial" w:cs="Arial"/>
      <w:snapToGrid w:val="0"/>
      <w:color w:val="000000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570</Words>
  <Characters>711</Characters>
  <Lines>5</Lines>
  <Paragraphs>1</Paragraphs>
  <TotalTime>10</TotalTime>
  <ScaleCrop>false</ScaleCrop>
  <LinksUpToDate>false</LinksUpToDate>
  <CharactersWithSpaces>738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2024-08-22T09:53:00Z</dcterms:created>
  <dc:creator>Liu Yi</dc:creator>
  <cp:lastModifiedBy>张 志 明.</cp:lastModifiedBy>
  <dcterms:modified xsi:type="dcterms:W3CDTF">2024-08-27T02:42:53Z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DA0EDB2E29F54227A99FAFE14E824BEA_12</vt:lpwstr>
  </property>
</Properties>
</file>