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11A2" w14:textId="24CF7213" w:rsidR="00720F3F" w:rsidRPr="00582370" w:rsidRDefault="00720F3F" w:rsidP="00720F3F">
      <w:pPr>
        <w:jc w:val="center"/>
        <w:rPr>
          <w:b/>
          <w:bCs/>
          <w:sz w:val="30"/>
          <w:szCs w:val="30"/>
        </w:rPr>
      </w:pPr>
      <w:r w:rsidRPr="00582370">
        <w:rPr>
          <w:rFonts w:hint="eastAsia"/>
          <w:b/>
          <w:bCs/>
          <w:sz w:val="30"/>
          <w:szCs w:val="30"/>
        </w:rPr>
        <w:t>首都医科大学附属北京胸科医院</w:t>
      </w:r>
      <w:r w:rsidRPr="00582370">
        <w:rPr>
          <w:rFonts w:hint="eastAsia"/>
          <w:b/>
          <w:bCs/>
          <w:sz w:val="30"/>
          <w:szCs w:val="30"/>
        </w:rPr>
        <w:br/>
        <w:t>病原微生物（宏基因+靶向）高通量测序外送服务资质要求及技术参数</w:t>
      </w:r>
    </w:p>
    <w:p w14:paraId="3EBB5B2E" w14:textId="77777777" w:rsidR="00720F3F" w:rsidRPr="00582370" w:rsidRDefault="00720F3F" w:rsidP="00720F3F">
      <w:pPr>
        <w:pStyle w:val="a0"/>
      </w:pPr>
    </w:p>
    <w:p w14:paraId="54D1AE2A" w14:textId="74113622" w:rsidR="00720F3F" w:rsidRPr="00582370" w:rsidRDefault="00720F3F" w:rsidP="00720F3F">
      <w:pPr>
        <w:numPr>
          <w:ilvl w:val="0"/>
          <w:numId w:val="1"/>
        </w:numPr>
        <w:rPr>
          <w:sz w:val="24"/>
        </w:rPr>
      </w:pPr>
      <w:r w:rsidRPr="00582370">
        <w:rPr>
          <w:rFonts w:hint="eastAsia"/>
          <w:b/>
          <w:bCs/>
          <w:sz w:val="24"/>
        </w:rPr>
        <w:t>项目</w:t>
      </w:r>
    </w:p>
    <w:p w14:paraId="0B136C8F" w14:textId="759680BD" w:rsidR="00720F3F" w:rsidRPr="00582370" w:rsidRDefault="00720F3F" w:rsidP="00720F3F">
      <w:pPr>
        <w:rPr>
          <w:rFonts w:ascii="宋体" w:eastAsia="宋体" w:hAnsi="宋体" w:cs="宋体"/>
          <w:sz w:val="24"/>
        </w:rPr>
      </w:pPr>
      <w:r w:rsidRPr="00582370">
        <w:rPr>
          <w:rFonts w:hint="eastAsia"/>
          <w:sz w:val="24"/>
        </w:rPr>
        <w:t>项目名称：首都医科大学附属北京胸科医院</w:t>
      </w:r>
      <w:r w:rsidRPr="00582370">
        <w:rPr>
          <w:rFonts w:ascii="宋体" w:eastAsia="宋体" w:hAnsi="宋体" w:cs="宋体" w:hint="eastAsia"/>
          <w:sz w:val="24"/>
        </w:rPr>
        <w:t xml:space="preserve">病原微生物（宏基因+靶向）高通量测序 </w:t>
      </w:r>
    </w:p>
    <w:p w14:paraId="49FC67C2" w14:textId="219C4581" w:rsidR="00720F3F" w:rsidRPr="00582370" w:rsidRDefault="00720F3F" w:rsidP="00720F3F">
      <w:pPr>
        <w:rPr>
          <w:b/>
          <w:bCs/>
          <w:sz w:val="24"/>
        </w:rPr>
      </w:pPr>
      <w:r w:rsidRPr="00582370">
        <w:rPr>
          <w:rFonts w:ascii="宋体" w:eastAsia="宋体" w:hAnsi="宋体" w:cs="宋体" w:hint="eastAsia"/>
          <w:sz w:val="24"/>
        </w:rPr>
        <w:t xml:space="preserve"> </w:t>
      </w:r>
      <w:r w:rsidRPr="00582370">
        <w:rPr>
          <w:b/>
          <w:bCs/>
          <w:sz w:val="24"/>
        </w:rPr>
        <w:t xml:space="preserve"> </w:t>
      </w:r>
    </w:p>
    <w:p w14:paraId="7BCFC1DE" w14:textId="6D55EE06" w:rsidR="00720F3F" w:rsidRPr="00582370" w:rsidRDefault="00720F3F" w:rsidP="00720F3F">
      <w:pPr>
        <w:numPr>
          <w:ilvl w:val="0"/>
          <w:numId w:val="2"/>
        </w:numPr>
        <w:rPr>
          <w:b/>
          <w:bCs/>
          <w:sz w:val="24"/>
        </w:rPr>
      </w:pPr>
      <w:r w:rsidRPr="00582370">
        <w:rPr>
          <w:rFonts w:hint="eastAsia"/>
          <w:b/>
          <w:bCs/>
          <w:sz w:val="24"/>
        </w:rPr>
        <w:t>投标人资格要求：</w:t>
      </w:r>
    </w:p>
    <w:p w14:paraId="70ACAE8F" w14:textId="14E49707" w:rsidR="00720F3F" w:rsidRPr="00582370" w:rsidRDefault="00720F3F" w:rsidP="00720F3F">
      <w:pPr>
        <w:spacing w:line="360" w:lineRule="auto"/>
        <w:rPr>
          <w:sz w:val="24"/>
        </w:rPr>
      </w:pPr>
      <w:r w:rsidRPr="00582370">
        <w:rPr>
          <w:rFonts w:hint="eastAsia"/>
          <w:sz w:val="24"/>
        </w:rPr>
        <w:t>1、在中华人民共和国境内登记注册的、具有独立法人资格，且具备以下要求的承担本项目的资质条件、能力和信誉；</w:t>
      </w:r>
    </w:p>
    <w:p w14:paraId="2BB1995D" w14:textId="77777777" w:rsidR="00720F3F" w:rsidRPr="00582370" w:rsidRDefault="00720F3F" w:rsidP="00720F3F">
      <w:pPr>
        <w:spacing w:line="360" w:lineRule="auto"/>
        <w:rPr>
          <w:sz w:val="24"/>
        </w:rPr>
      </w:pPr>
      <w:r w:rsidRPr="00582370">
        <w:rPr>
          <w:rFonts w:hint="eastAsia"/>
          <w:sz w:val="24"/>
        </w:rPr>
        <w:t>1)投标人须符合《政府采购法》第二十二条规定:</w:t>
      </w:r>
    </w:p>
    <w:p w14:paraId="57555089" w14:textId="77777777" w:rsidR="00720F3F" w:rsidRPr="00582370" w:rsidRDefault="00720F3F" w:rsidP="00720F3F">
      <w:pPr>
        <w:spacing w:line="360" w:lineRule="auto"/>
        <w:rPr>
          <w:sz w:val="24"/>
        </w:rPr>
      </w:pPr>
      <w:r w:rsidRPr="00582370">
        <w:rPr>
          <w:rFonts w:hint="eastAsia"/>
          <w:sz w:val="24"/>
        </w:rPr>
        <w:t>A.中华人民共和国境内具有独立承担民事责任能力的投标人，包括法人、其他组织或自然人；</w:t>
      </w:r>
    </w:p>
    <w:p w14:paraId="7EFF8A1B" w14:textId="77777777" w:rsidR="00720F3F" w:rsidRPr="00582370" w:rsidRDefault="00720F3F" w:rsidP="00720F3F">
      <w:pPr>
        <w:spacing w:line="360" w:lineRule="auto"/>
        <w:rPr>
          <w:sz w:val="24"/>
        </w:rPr>
      </w:pPr>
      <w:r w:rsidRPr="00582370">
        <w:rPr>
          <w:rFonts w:hint="eastAsia"/>
          <w:sz w:val="24"/>
        </w:rPr>
        <w:t>B.具有良好的商业信誉和健全的财务会计制度提供会计师事务所出具的上一年度财务审计报告或新设企业当年验资报告的复印件(加盖提供报告单位的公章)，或开户银行在开标日前三个月内开具的资信证明；</w:t>
      </w:r>
    </w:p>
    <w:p w14:paraId="2C62350E" w14:textId="77777777" w:rsidR="00720F3F" w:rsidRPr="00582370" w:rsidRDefault="00720F3F" w:rsidP="00720F3F">
      <w:pPr>
        <w:spacing w:line="360" w:lineRule="auto"/>
        <w:rPr>
          <w:sz w:val="24"/>
        </w:rPr>
      </w:pPr>
      <w:r w:rsidRPr="00582370">
        <w:rPr>
          <w:rFonts w:hint="eastAsia"/>
          <w:sz w:val="24"/>
        </w:rPr>
        <w:t>C.具有履行合同所必需的设备和专业技术能力:</w:t>
      </w:r>
    </w:p>
    <w:p w14:paraId="4E9A2EAE" w14:textId="77777777" w:rsidR="00720F3F" w:rsidRPr="00582370" w:rsidRDefault="00720F3F" w:rsidP="00720F3F">
      <w:pPr>
        <w:spacing w:line="360" w:lineRule="auto"/>
        <w:rPr>
          <w:sz w:val="24"/>
        </w:rPr>
      </w:pPr>
      <w:r w:rsidRPr="00582370">
        <w:rPr>
          <w:rFonts w:hint="eastAsia"/>
          <w:sz w:val="24"/>
        </w:rPr>
        <w:t>D.有依法缴纳税收和社会保障资金的良好记录:</w:t>
      </w:r>
    </w:p>
    <w:p w14:paraId="0BFDA5D3" w14:textId="77777777" w:rsidR="00720F3F" w:rsidRPr="00582370" w:rsidRDefault="00720F3F" w:rsidP="00720F3F">
      <w:pPr>
        <w:spacing w:line="360" w:lineRule="auto"/>
        <w:rPr>
          <w:sz w:val="24"/>
        </w:rPr>
      </w:pPr>
      <w:r w:rsidRPr="00582370">
        <w:rPr>
          <w:rFonts w:hint="eastAsia"/>
          <w:sz w:val="24"/>
        </w:rPr>
        <w:t>E.参加本次政府采购活动前三年内，在经营活动中没有重大违法记录；</w:t>
      </w:r>
    </w:p>
    <w:p w14:paraId="1CCF569D" w14:textId="50536007" w:rsidR="00720F3F" w:rsidRPr="00582370" w:rsidRDefault="00720F3F" w:rsidP="00720F3F">
      <w:pPr>
        <w:spacing w:line="360" w:lineRule="auto"/>
        <w:rPr>
          <w:sz w:val="24"/>
        </w:rPr>
      </w:pPr>
      <w:r w:rsidRPr="00582370">
        <w:rPr>
          <w:sz w:val="24"/>
        </w:rPr>
        <w:t>2</w:t>
      </w:r>
      <w:r w:rsidRPr="00582370">
        <w:rPr>
          <w:rFonts w:hint="eastAsia"/>
          <w:sz w:val="24"/>
        </w:rPr>
        <w:t>、资质条件:</w:t>
      </w:r>
    </w:p>
    <w:p w14:paraId="593A7909" w14:textId="77777777" w:rsidR="00720F3F" w:rsidRPr="00582370" w:rsidRDefault="00720F3F" w:rsidP="00720F3F">
      <w:pPr>
        <w:spacing w:line="360" w:lineRule="auto"/>
        <w:rPr>
          <w:sz w:val="24"/>
        </w:rPr>
      </w:pPr>
      <w:r w:rsidRPr="00582370">
        <w:rPr>
          <w:rFonts w:hint="eastAsia"/>
          <w:sz w:val="24"/>
        </w:rPr>
        <w:t>投标人须同时满足以下资质:</w:t>
      </w:r>
    </w:p>
    <w:p w14:paraId="33422A5C" w14:textId="77777777" w:rsidR="00720F3F" w:rsidRPr="00582370" w:rsidRDefault="00720F3F" w:rsidP="00720F3F">
      <w:pPr>
        <w:spacing w:line="360" w:lineRule="auto"/>
        <w:rPr>
          <w:sz w:val="24"/>
        </w:rPr>
      </w:pPr>
      <w:r w:rsidRPr="00582370">
        <w:rPr>
          <w:rFonts w:hint="eastAsia"/>
          <w:sz w:val="24"/>
        </w:rPr>
        <w:t>投标人实验室具备</w:t>
      </w:r>
      <w:r w:rsidRPr="00582370">
        <w:rPr>
          <w:sz w:val="24"/>
        </w:rPr>
        <w:t>有效的《医疗机构执业许可证》（诊疗科目须涵盖“临床细胞分</w:t>
      </w:r>
      <w:r w:rsidRPr="00582370">
        <w:rPr>
          <w:sz w:val="24"/>
        </w:rPr>
        <w:lastRenderedPageBreak/>
        <w:t>子遗传学专业”），并具备临床基因扩增实验室资质；投标人提供检测服务的实验室须具备二级或以上病原微生物实验室备案资质。提供复印件加盖公章</w:t>
      </w:r>
      <w:r w:rsidRPr="00582370">
        <w:rPr>
          <w:rFonts w:hint="eastAsia"/>
          <w:sz w:val="24"/>
        </w:rPr>
        <w:t>。</w:t>
      </w:r>
    </w:p>
    <w:p w14:paraId="0C5FC7F8" w14:textId="137FC5DA" w:rsidR="00720F3F" w:rsidRPr="00582370" w:rsidRDefault="00720F3F" w:rsidP="00720F3F">
      <w:pPr>
        <w:spacing w:line="360" w:lineRule="auto"/>
        <w:rPr>
          <w:sz w:val="24"/>
        </w:rPr>
      </w:pPr>
      <w:r w:rsidRPr="00582370">
        <w:rPr>
          <w:rFonts w:hint="eastAsia"/>
          <w:sz w:val="24"/>
        </w:rPr>
        <w:t>3、财务状况:近1年(2023年度，如若投标人的成立时间少于上述年限的，公司成立以来)财务报表经第三方会计师事务所或审计机构审计。</w:t>
      </w:r>
    </w:p>
    <w:p w14:paraId="51871F94" w14:textId="77777777" w:rsidR="00720F3F" w:rsidRPr="00582370" w:rsidRDefault="00720F3F" w:rsidP="00720F3F">
      <w:pPr>
        <w:numPr>
          <w:ilvl w:val="0"/>
          <w:numId w:val="3"/>
        </w:numPr>
        <w:spacing w:line="360" w:lineRule="auto"/>
        <w:rPr>
          <w:sz w:val="24"/>
        </w:rPr>
      </w:pPr>
      <w:r w:rsidRPr="00582370">
        <w:rPr>
          <w:rFonts w:hint="eastAsia"/>
          <w:sz w:val="24"/>
        </w:rPr>
        <w:t>投标人未被列入“信用中国”网站(www.creditchina.gov.cn)“记录失信被执行人或重大税收违法失信主体”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投标人需提供相关证明资料）。</w:t>
      </w:r>
    </w:p>
    <w:p w14:paraId="47D34A3B" w14:textId="77777777" w:rsidR="00720F3F" w:rsidRPr="00582370" w:rsidRDefault="00720F3F" w:rsidP="00720F3F">
      <w:pPr>
        <w:numPr>
          <w:ilvl w:val="0"/>
          <w:numId w:val="3"/>
        </w:numPr>
        <w:spacing w:line="360" w:lineRule="auto"/>
        <w:rPr>
          <w:sz w:val="24"/>
        </w:rPr>
      </w:pPr>
      <w:r w:rsidRPr="00582370">
        <w:rPr>
          <w:rFonts w:hint="eastAsia"/>
          <w:sz w:val="24"/>
        </w:rPr>
        <w:t>单位负责人为同一人或者存在直接控股、管理关系的不同投标人，不得同时参加本采购项目（或采购包）投标（响应）。为本项目提供整体设计、规范编制或者项目管理、监理、检测等服务的投标人，不得再参与本项目投标（响应）。提供《资格声明函》。</w:t>
      </w:r>
    </w:p>
    <w:p w14:paraId="0FD38EA1" w14:textId="77777777" w:rsidR="00720F3F" w:rsidRPr="00582370" w:rsidRDefault="00720F3F" w:rsidP="00720F3F">
      <w:pPr>
        <w:numPr>
          <w:ilvl w:val="0"/>
          <w:numId w:val="3"/>
        </w:numPr>
        <w:spacing w:line="360" w:lineRule="auto"/>
        <w:rPr>
          <w:sz w:val="24"/>
        </w:rPr>
      </w:pPr>
      <w:r w:rsidRPr="00582370">
        <w:rPr>
          <w:rFonts w:hint="eastAsia"/>
          <w:sz w:val="24"/>
        </w:rPr>
        <w:t>本项目不接受联合体投标，不允许分包、转包。提供《资格声明函》</w:t>
      </w:r>
    </w:p>
    <w:p w14:paraId="42137E1F" w14:textId="77777777" w:rsidR="00720F3F" w:rsidRPr="00582370" w:rsidRDefault="00720F3F" w:rsidP="00720F3F">
      <w:r w:rsidRPr="00582370">
        <w:rPr>
          <w:rFonts w:hint="eastAsia"/>
          <w:sz w:val="24"/>
        </w:rPr>
        <w:br w:type="page"/>
      </w:r>
    </w:p>
    <w:p w14:paraId="00DA379E" w14:textId="77777777" w:rsidR="00720F3F" w:rsidRPr="00582370" w:rsidRDefault="00720F3F" w:rsidP="00720F3F">
      <w:pPr>
        <w:numPr>
          <w:ilvl w:val="0"/>
          <w:numId w:val="2"/>
        </w:numPr>
        <w:rPr>
          <w:sz w:val="24"/>
        </w:rPr>
      </w:pPr>
      <w:r w:rsidRPr="00582370">
        <w:rPr>
          <w:rFonts w:hint="eastAsia"/>
          <w:b/>
          <w:bCs/>
          <w:sz w:val="24"/>
        </w:rPr>
        <w:lastRenderedPageBreak/>
        <w:t>技术规格、参数要求：</w:t>
      </w:r>
    </w:p>
    <w:p w14:paraId="4E945F65" w14:textId="77777777" w:rsidR="00720F3F" w:rsidRPr="00582370" w:rsidRDefault="00720F3F" w:rsidP="00720F3F">
      <w:pPr>
        <w:rPr>
          <w:b/>
          <w:bCs/>
          <w:sz w:val="24"/>
        </w:rPr>
      </w:pPr>
    </w:p>
    <w:tbl>
      <w:tblPr>
        <w:tblStyle w:val="a5"/>
        <w:tblW w:w="9133" w:type="dxa"/>
        <w:tblInd w:w="-389" w:type="dxa"/>
        <w:tblLook w:val="04A0" w:firstRow="1" w:lastRow="0" w:firstColumn="1" w:lastColumn="0" w:noHBand="0" w:noVBand="1"/>
      </w:tblPr>
      <w:tblGrid>
        <w:gridCol w:w="700"/>
        <w:gridCol w:w="8433"/>
      </w:tblGrid>
      <w:tr w:rsidR="00720F3F" w:rsidRPr="00582370" w14:paraId="3B328C13" w14:textId="77777777" w:rsidTr="00C210FA">
        <w:trPr>
          <w:trHeight w:val="530"/>
        </w:trPr>
        <w:tc>
          <w:tcPr>
            <w:tcW w:w="9133" w:type="dxa"/>
            <w:gridSpan w:val="2"/>
            <w:shd w:val="clear" w:color="auto" w:fill="A8D08D"/>
            <w:vAlign w:val="center"/>
          </w:tcPr>
          <w:p w14:paraId="2D1C8BF9" w14:textId="77777777" w:rsidR="00720F3F" w:rsidRPr="00582370" w:rsidRDefault="00720F3F" w:rsidP="00C210FA">
            <w:pPr>
              <w:ind w:firstLine="489"/>
              <w:jc w:val="center"/>
              <w:rPr>
                <w:rFonts w:ascii="宋体" w:hAnsi="宋体" w:cs="宋体"/>
                <w:sz w:val="24"/>
              </w:rPr>
            </w:pPr>
            <w:r w:rsidRPr="00582370">
              <w:rPr>
                <w:rFonts w:ascii="宋体" w:hAnsi="宋体" w:cs="宋体" w:hint="eastAsia"/>
                <w:b/>
                <w:bCs/>
                <w:sz w:val="24"/>
                <w:szCs w:val="24"/>
              </w:rPr>
              <w:t>病原微生物（宏基因+靶向）高通量测序外送服务项目</w:t>
            </w:r>
          </w:p>
        </w:tc>
      </w:tr>
      <w:tr w:rsidR="00720F3F" w:rsidRPr="00582370" w14:paraId="25CFBB02" w14:textId="77777777" w:rsidTr="00C210FA">
        <w:tc>
          <w:tcPr>
            <w:tcW w:w="700" w:type="dxa"/>
            <w:vAlign w:val="center"/>
          </w:tcPr>
          <w:p w14:paraId="1D348CB9"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1</w:t>
            </w:r>
          </w:p>
        </w:tc>
        <w:tc>
          <w:tcPr>
            <w:tcW w:w="8433" w:type="dxa"/>
            <w:vAlign w:val="center"/>
          </w:tcPr>
          <w:p w14:paraId="04074431" w14:textId="7ED3F9CF" w:rsidR="00720F3F" w:rsidRPr="00582370" w:rsidRDefault="00720F3F" w:rsidP="00C210FA">
            <w:pPr>
              <w:spacing w:line="360" w:lineRule="auto"/>
              <w:ind w:firstLine="480"/>
              <w:rPr>
                <w:rFonts w:ascii="宋体" w:hAnsi="宋体" w:cs="宋体"/>
                <w:sz w:val="24"/>
              </w:rPr>
            </w:pPr>
            <w:r w:rsidRPr="00582370">
              <w:rPr>
                <w:rFonts w:ascii="宋体" w:hAnsi="宋体" w:cs="宋体" w:hint="eastAsia"/>
                <w:sz w:val="24"/>
                <w:szCs w:val="24"/>
              </w:rPr>
              <w:t>投标人有搭载获证病原微生物分析软件的智能分析系统，且该智能生信分析系统能对样本信息进行全流程管理，包含样本管理、实验室流程管理、报告中心、系统配置中心等主要功能模块；</w:t>
            </w:r>
          </w:p>
        </w:tc>
      </w:tr>
      <w:tr w:rsidR="00720F3F" w:rsidRPr="00582370" w14:paraId="2032946E" w14:textId="77777777" w:rsidTr="00C210FA">
        <w:tc>
          <w:tcPr>
            <w:tcW w:w="700" w:type="dxa"/>
            <w:vAlign w:val="center"/>
          </w:tcPr>
          <w:p w14:paraId="2D45FFD6"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2</w:t>
            </w:r>
          </w:p>
        </w:tc>
        <w:tc>
          <w:tcPr>
            <w:tcW w:w="8433" w:type="dxa"/>
            <w:vAlign w:val="center"/>
          </w:tcPr>
          <w:p w14:paraId="717492D9" w14:textId="07403DFC" w:rsidR="00720F3F" w:rsidRPr="00582370" w:rsidRDefault="00720F3F" w:rsidP="00C073A7">
            <w:pPr>
              <w:spacing w:line="360" w:lineRule="auto"/>
              <w:ind w:firstLine="480"/>
              <w:rPr>
                <w:rFonts w:ascii="宋体" w:hAnsi="宋体" w:cs="宋体"/>
                <w:sz w:val="24"/>
                <w:szCs w:val="24"/>
              </w:rPr>
            </w:pPr>
            <w:r w:rsidRPr="00582370">
              <w:rPr>
                <w:rFonts w:ascii="宋体" w:hAnsi="宋体" w:cs="宋体" w:hint="eastAsia"/>
                <w:sz w:val="24"/>
                <w:szCs w:val="24"/>
              </w:rPr>
              <w:t>投标人使用二代基因测序仪平台进行病原微生物（宏基因+靶向）高通量测序，该平台需要具有中华人民共和国医疗器械注册证，对来源于人体样本的脱氧核糖核酸</w:t>
            </w:r>
            <w:r w:rsidR="00C073A7" w:rsidRPr="00582370">
              <w:rPr>
                <w:rFonts w:ascii="宋体" w:hAnsi="宋体" w:cs="宋体" w:hint="eastAsia"/>
                <w:sz w:val="24"/>
                <w:szCs w:val="24"/>
              </w:rPr>
              <w:t>及核糖核酸</w:t>
            </w:r>
            <w:r w:rsidRPr="00582370">
              <w:rPr>
                <w:rFonts w:ascii="宋体" w:hAnsi="宋体" w:cs="宋体" w:hint="eastAsia"/>
                <w:sz w:val="24"/>
                <w:szCs w:val="24"/>
              </w:rPr>
              <w:t>(DNA</w:t>
            </w:r>
            <w:r w:rsidR="00C073A7" w:rsidRPr="00582370">
              <w:rPr>
                <w:rFonts w:ascii="宋体" w:hAnsi="宋体" w:cs="宋体" w:hint="eastAsia"/>
                <w:sz w:val="24"/>
                <w:szCs w:val="24"/>
              </w:rPr>
              <w:t>及RNA</w:t>
            </w:r>
            <w:r w:rsidRPr="00582370">
              <w:rPr>
                <w:rFonts w:ascii="宋体" w:hAnsi="宋体" w:cs="宋体" w:hint="eastAsia"/>
                <w:sz w:val="24"/>
                <w:szCs w:val="24"/>
              </w:rPr>
              <w:t>)进行测序。（提供拥有该平台的证明材料）；</w:t>
            </w:r>
          </w:p>
        </w:tc>
      </w:tr>
      <w:tr w:rsidR="00720F3F" w:rsidRPr="00582370" w14:paraId="23110745" w14:textId="77777777" w:rsidTr="00C210FA">
        <w:tc>
          <w:tcPr>
            <w:tcW w:w="700" w:type="dxa"/>
            <w:vAlign w:val="center"/>
          </w:tcPr>
          <w:p w14:paraId="4F7514B4"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*3</w:t>
            </w:r>
          </w:p>
        </w:tc>
        <w:tc>
          <w:tcPr>
            <w:tcW w:w="8433" w:type="dxa"/>
            <w:vAlign w:val="center"/>
          </w:tcPr>
          <w:p w14:paraId="59A827F0" w14:textId="58A591A2" w:rsidR="00720F3F" w:rsidRPr="00582370" w:rsidRDefault="00720F3F" w:rsidP="00C210FA">
            <w:pPr>
              <w:pStyle w:val="a6"/>
              <w:spacing w:line="300" w:lineRule="auto"/>
              <w:ind w:firstLineChars="0" w:firstLine="0"/>
              <w:jc w:val="left"/>
              <w:outlineLvl w:val="0"/>
              <w:rPr>
                <w:rFonts w:ascii="宋体" w:hAnsi="宋体" w:cs="宋体"/>
                <w:sz w:val="24"/>
              </w:rPr>
            </w:pPr>
            <w:r w:rsidRPr="00582370">
              <w:rPr>
                <w:rFonts w:ascii="宋体" w:hAnsi="宋体" w:cs="宋体" w:hint="eastAsia"/>
                <w:sz w:val="24"/>
                <w:szCs w:val="24"/>
              </w:rPr>
              <w:t>投标人拥有NMPA批准自主生产的基因测序文库制备仪，采用独立三腔室设计，</w:t>
            </w:r>
            <w:r w:rsidR="00C073A7" w:rsidRPr="00582370">
              <w:rPr>
                <w:rFonts w:ascii="宋体" w:hAnsi="宋体" w:cs="宋体" w:hint="eastAsia"/>
                <w:sz w:val="24"/>
                <w:szCs w:val="24"/>
              </w:rPr>
              <w:t>设计符合实验流程要求</w:t>
            </w:r>
            <w:r w:rsidRPr="00582370">
              <w:rPr>
                <w:rFonts w:ascii="宋体" w:hAnsi="宋体" w:cs="宋体" w:hint="eastAsia"/>
                <w:sz w:val="24"/>
                <w:szCs w:val="24"/>
              </w:rPr>
              <w:t>，可以实现核酸提取与文库构建的全流程自动化，无需人工干预，提供注册证复印件并加盖公章；</w:t>
            </w:r>
          </w:p>
        </w:tc>
      </w:tr>
      <w:tr w:rsidR="00720F3F" w:rsidRPr="00582370" w14:paraId="46E39E27" w14:textId="77777777" w:rsidTr="00C210FA">
        <w:tc>
          <w:tcPr>
            <w:tcW w:w="700" w:type="dxa"/>
            <w:vAlign w:val="center"/>
          </w:tcPr>
          <w:p w14:paraId="5F5096D0"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4</w:t>
            </w:r>
          </w:p>
        </w:tc>
        <w:tc>
          <w:tcPr>
            <w:tcW w:w="8433" w:type="dxa"/>
            <w:vAlign w:val="center"/>
          </w:tcPr>
          <w:p w14:paraId="31B6A4F8" w14:textId="77777777" w:rsidR="00720F3F" w:rsidRPr="00582370" w:rsidRDefault="00720F3F" w:rsidP="00C210FA">
            <w:pPr>
              <w:spacing w:line="360" w:lineRule="auto"/>
              <w:ind w:firstLine="480"/>
              <w:rPr>
                <w:rFonts w:ascii="宋体" w:hAnsi="宋体" w:cs="宋体"/>
                <w:sz w:val="24"/>
              </w:rPr>
            </w:pPr>
            <w:r w:rsidRPr="00582370">
              <w:rPr>
                <w:rFonts w:ascii="宋体" w:hAnsi="宋体" w:cs="宋体" w:hint="eastAsia"/>
                <w:sz w:val="24"/>
                <w:szCs w:val="24"/>
              </w:rPr>
              <w:t>病原微生物宏基因高通量测序检测产品检测技术指标要求：上机数据量≥5M，Q30＞80%，要求投标人在履行过程中必须按照以上技术执行，提供承诺函；</w:t>
            </w:r>
          </w:p>
        </w:tc>
      </w:tr>
      <w:tr w:rsidR="00720F3F" w:rsidRPr="00582370" w14:paraId="070CEC1A" w14:textId="77777777" w:rsidTr="00C210FA">
        <w:tc>
          <w:tcPr>
            <w:tcW w:w="700" w:type="dxa"/>
            <w:vAlign w:val="center"/>
          </w:tcPr>
          <w:p w14:paraId="253712C4"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5</w:t>
            </w:r>
          </w:p>
        </w:tc>
        <w:tc>
          <w:tcPr>
            <w:tcW w:w="8433" w:type="dxa"/>
            <w:vAlign w:val="center"/>
          </w:tcPr>
          <w:p w14:paraId="4CD79F73" w14:textId="77777777" w:rsidR="00720F3F" w:rsidRPr="00582370" w:rsidRDefault="00720F3F" w:rsidP="00C210FA">
            <w:pPr>
              <w:spacing w:line="360" w:lineRule="auto"/>
              <w:ind w:firstLine="480"/>
              <w:rPr>
                <w:rFonts w:ascii="宋体" w:hAnsi="宋体" w:cs="宋体"/>
                <w:sz w:val="24"/>
              </w:rPr>
            </w:pPr>
            <w:r w:rsidRPr="00582370">
              <w:rPr>
                <w:rFonts w:ascii="宋体" w:hAnsi="宋体" w:cs="宋体" w:hint="eastAsia"/>
                <w:sz w:val="24"/>
                <w:szCs w:val="24"/>
              </w:rPr>
              <w:t>病原微生物靶向高通量测序检测产品检测技术指标要求：上机数据量≥1M，Q30＞80%，要求投标人在履行过程中必须按照以上技术执行，提供承诺函；</w:t>
            </w:r>
          </w:p>
        </w:tc>
      </w:tr>
      <w:tr w:rsidR="00720F3F" w:rsidRPr="00582370" w14:paraId="4E645B68" w14:textId="77777777" w:rsidTr="00C210FA">
        <w:tc>
          <w:tcPr>
            <w:tcW w:w="700" w:type="dxa"/>
            <w:vAlign w:val="center"/>
          </w:tcPr>
          <w:p w14:paraId="15CA5573"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*6</w:t>
            </w:r>
          </w:p>
        </w:tc>
        <w:tc>
          <w:tcPr>
            <w:tcW w:w="8433" w:type="dxa"/>
            <w:vAlign w:val="center"/>
          </w:tcPr>
          <w:p w14:paraId="0E3CD281" w14:textId="77777777" w:rsidR="00720F3F" w:rsidRPr="00582370" w:rsidRDefault="00720F3F" w:rsidP="00C210FA">
            <w:pPr>
              <w:pStyle w:val="a6"/>
              <w:spacing w:line="300" w:lineRule="auto"/>
              <w:ind w:firstLineChars="0" w:firstLine="0"/>
              <w:jc w:val="left"/>
              <w:outlineLvl w:val="0"/>
              <w:rPr>
                <w:rFonts w:ascii="宋体" w:hAnsi="宋体" w:cs="宋体"/>
                <w:sz w:val="24"/>
              </w:rPr>
            </w:pPr>
            <w:r w:rsidRPr="00582370">
              <w:rPr>
                <w:rFonts w:ascii="宋体" w:hAnsi="宋体" w:cs="宋体" w:hint="eastAsia"/>
                <w:sz w:val="24"/>
              </w:rPr>
              <w:t>实验流程需要的</w:t>
            </w:r>
            <w:r w:rsidRPr="00582370">
              <w:rPr>
                <w:rFonts w:ascii="宋体" w:hAnsi="宋体" w:cs="宋体" w:hint="eastAsia"/>
                <w:sz w:val="24"/>
                <w:szCs w:val="24"/>
              </w:rPr>
              <w:t>核酸纯化试剂、核酸提取试剂、测序反应通用试剂，投标人需提供以上试剂在有效期内的医疗器械注册证或一类备案证；</w:t>
            </w:r>
          </w:p>
        </w:tc>
      </w:tr>
      <w:tr w:rsidR="00720F3F" w:rsidRPr="00582370" w14:paraId="3F3DB7D6" w14:textId="77777777" w:rsidTr="00C210FA">
        <w:tc>
          <w:tcPr>
            <w:tcW w:w="700" w:type="dxa"/>
            <w:vAlign w:val="center"/>
          </w:tcPr>
          <w:p w14:paraId="7B1375A0"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7</w:t>
            </w:r>
          </w:p>
        </w:tc>
        <w:tc>
          <w:tcPr>
            <w:tcW w:w="8433" w:type="dxa"/>
            <w:vAlign w:val="center"/>
          </w:tcPr>
          <w:p w14:paraId="34947AF4" w14:textId="77777777" w:rsidR="00720F3F" w:rsidRPr="00582370" w:rsidRDefault="00720F3F" w:rsidP="00C210FA">
            <w:pPr>
              <w:spacing w:line="360" w:lineRule="auto"/>
              <w:ind w:firstLine="480"/>
              <w:rPr>
                <w:rFonts w:ascii="宋体" w:hAnsi="宋体" w:cs="宋体"/>
                <w:sz w:val="24"/>
              </w:rPr>
            </w:pPr>
            <w:r w:rsidRPr="00582370">
              <w:rPr>
                <w:rFonts w:ascii="宋体" w:hAnsi="宋体" w:cs="宋体" w:hint="eastAsia"/>
                <w:sz w:val="24"/>
                <w:szCs w:val="24"/>
              </w:rPr>
              <w:t>投标人实验室具备有效的《医疗机构执业许可证》（诊疗科目须涵盖“临床细胞分子遗传学专业”），并具备临床基因扩增实验室资质；投标人提供检测服务的实验室须具备二级或以上病原微生物实验室备案资质。提供复印件加盖公章；</w:t>
            </w:r>
          </w:p>
        </w:tc>
      </w:tr>
      <w:tr w:rsidR="00720F3F" w:rsidRPr="00582370" w14:paraId="1E87956F" w14:textId="77777777" w:rsidTr="00C210FA">
        <w:tc>
          <w:tcPr>
            <w:tcW w:w="700" w:type="dxa"/>
            <w:vAlign w:val="center"/>
          </w:tcPr>
          <w:p w14:paraId="3DC25460"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8</w:t>
            </w:r>
          </w:p>
        </w:tc>
        <w:tc>
          <w:tcPr>
            <w:tcW w:w="8433" w:type="dxa"/>
            <w:vAlign w:val="center"/>
          </w:tcPr>
          <w:p w14:paraId="632BB33A" w14:textId="77777777" w:rsidR="00720F3F" w:rsidRPr="00582370" w:rsidRDefault="00720F3F" w:rsidP="00C210FA">
            <w:pPr>
              <w:spacing w:line="360" w:lineRule="auto"/>
              <w:ind w:firstLine="480"/>
              <w:rPr>
                <w:rFonts w:ascii="宋体" w:hAnsi="宋体" w:cs="宋体"/>
                <w:sz w:val="24"/>
              </w:rPr>
            </w:pPr>
            <w:r w:rsidRPr="00582370">
              <w:rPr>
                <w:rFonts w:ascii="宋体" w:hAnsi="宋体" w:cs="宋体" w:hint="eastAsia"/>
                <w:sz w:val="24"/>
                <w:szCs w:val="24"/>
              </w:rPr>
              <w:t>投标人本项目配备5名以上具有“临床医学检验专业技术”或“卫生检验技术”或“微生物检验技术”的专业技术人员</w:t>
            </w:r>
            <w:r w:rsidRPr="00582370">
              <w:rPr>
                <w:rFonts w:ascii="宋体" w:hAnsi="宋体" w:cs="宋体" w:hint="eastAsia"/>
                <w:sz w:val="24"/>
              </w:rPr>
              <w:t>并具有PCR上岗资质</w:t>
            </w:r>
            <w:r w:rsidRPr="00582370">
              <w:rPr>
                <w:rFonts w:ascii="宋体" w:hAnsi="宋体" w:cs="宋体" w:hint="eastAsia"/>
                <w:sz w:val="24"/>
                <w:szCs w:val="24"/>
              </w:rPr>
              <w:t>，提供对应证书及相关专业技术人员的社保缴纳证明；</w:t>
            </w:r>
          </w:p>
        </w:tc>
      </w:tr>
      <w:tr w:rsidR="00720F3F" w:rsidRPr="00582370" w14:paraId="22DED6AF" w14:textId="77777777" w:rsidTr="00C210FA">
        <w:trPr>
          <w:trHeight w:val="2072"/>
        </w:trPr>
        <w:tc>
          <w:tcPr>
            <w:tcW w:w="700" w:type="dxa"/>
            <w:vAlign w:val="center"/>
          </w:tcPr>
          <w:p w14:paraId="527C833D"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9</w:t>
            </w:r>
          </w:p>
        </w:tc>
        <w:tc>
          <w:tcPr>
            <w:tcW w:w="8433" w:type="dxa"/>
            <w:vAlign w:val="center"/>
          </w:tcPr>
          <w:p w14:paraId="0DC392AE" w14:textId="77777777" w:rsidR="00720F3F" w:rsidRPr="00582370" w:rsidRDefault="00720F3F" w:rsidP="00C210FA">
            <w:pPr>
              <w:spacing w:line="360" w:lineRule="auto"/>
              <w:ind w:firstLine="480"/>
              <w:rPr>
                <w:rFonts w:ascii="宋体" w:hAnsi="宋体" w:cs="宋体"/>
                <w:sz w:val="24"/>
                <w:shd w:val="clear" w:color="auto" w:fill="FFFFFF"/>
              </w:rPr>
            </w:pPr>
            <w:r w:rsidRPr="00582370">
              <w:rPr>
                <w:rFonts w:ascii="宋体" w:hAnsi="宋体" w:cs="宋体" w:hint="eastAsia"/>
                <w:sz w:val="24"/>
                <w:szCs w:val="24"/>
              </w:rPr>
              <w:t>投标人实验室需具备对本项目的自主检测能力，不允许联合投标人外的任何机构提供投标所需硬件设备及资质等，不允许投标人外包完成标的中任一环节；（提供承诺函）</w:t>
            </w:r>
          </w:p>
        </w:tc>
      </w:tr>
      <w:tr w:rsidR="00720F3F" w:rsidRPr="00582370" w14:paraId="6079DF42" w14:textId="77777777" w:rsidTr="00C210FA">
        <w:tc>
          <w:tcPr>
            <w:tcW w:w="700" w:type="dxa"/>
            <w:vAlign w:val="center"/>
          </w:tcPr>
          <w:p w14:paraId="59DEB743"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lastRenderedPageBreak/>
              <w:t>*10</w:t>
            </w:r>
          </w:p>
        </w:tc>
        <w:tc>
          <w:tcPr>
            <w:tcW w:w="8433" w:type="dxa"/>
            <w:vAlign w:val="center"/>
          </w:tcPr>
          <w:p w14:paraId="50296E50" w14:textId="77777777" w:rsidR="00720F3F" w:rsidRPr="00582370" w:rsidRDefault="00720F3F" w:rsidP="00C210FA">
            <w:pPr>
              <w:pStyle w:val="a6"/>
              <w:spacing w:line="300" w:lineRule="auto"/>
              <w:ind w:firstLineChars="0" w:firstLine="0"/>
              <w:jc w:val="left"/>
              <w:outlineLvl w:val="0"/>
              <w:rPr>
                <w:rFonts w:ascii="宋体" w:hAnsi="宋体" w:cs="宋体"/>
                <w:sz w:val="24"/>
                <w:shd w:val="clear" w:color="auto" w:fill="FFFFFF"/>
              </w:rPr>
            </w:pPr>
            <w:r w:rsidRPr="00582370">
              <w:rPr>
                <w:rFonts w:ascii="宋体" w:hAnsi="宋体" w:cs="宋体" w:hint="eastAsia"/>
                <w:sz w:val="24"/>
                <w:szCs w:val="24"/>
              </w:rPr>
              <w:t>投标人拥有自主建立的病原数据库，用于临床分析的检测物种数量，病原微生物大于30000种（更大程度保证罕见病原体的检出），且需要提供可检测病原种类数的相关证明文件；</w:t>
            </w:r>
          </w:p>
        </w:tc>
      </w:tr>
      <w:tr w:rsidR="00720F3F" w:rsidRPr="00582370" w14:paraId="3F1075CA" w14:textId="77777777" w:rsidTr="00C210FA">
        <w:tc>
          <w:tcPr>
            <w:tcW w:w="700" w:type="dxa"/>
            <w:vAlign w:val="center"/>
          </w:tcPr>
          <w:p w14:paraId="3E76CBE8"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*11</w:t>
            </w:r>
          </w:p>
        </w:tc>
        <w:tc>
          <w:tcPr>
            <w:tcW w:w="8433" w:type="dxa"/>
            <w:vAlign w:val="center"/>
          </w:tcPr>
          <w:p w14:paraId="6E795074" w14:textId="77777777" w:rsidR="00720F3F" w:rsidRPr="00582370" w:rsidRDefault="00720F3F" w:rsidP="00C210FA">
            <w:pPr>
              <w:pStyle w:val="a6"/>
              <w:spacing w:line="300" w:lineRule="auto"/>
              <w:ind w:firstLineChars="0" w:firstLine="0"/>
              <w:jc w:val="left"/>
              <w:outlineLvl w:val="0"/>
              <w:rPr>
                <w:rFonts w:ascii="宋体" w:hAnsi="宋体" w:cs="宋体"/>
                <w:sz w:val="24"/>
                <w:shd w:val="clear" w:color="auto" w:fill="FFFFFF"/>
              </w:rPr>
            </w:pPr>
            <w:r w:rsidRPr="00582370">
              <w:rPr>
                <w:rFonts w:ascii="宋体" w:hAnsi="宋体" w:cs="宋体" w:hint="eastAsia"/>
                <w:sz w:val="24"/>
                <w:szCs w:val="24"/>
              </w:rPr>
              <w:t>投标人拥有获注册证的病原微生物分析软件，通过对临床样本的全部DNA和RNA测序数据进行计算，可检测基因组序列已知的可疑致病微生物（病原数量大于600种），且检测范围包括已知临床重要致病细菌、支原体、衣原体、立克次氏体、螺旋体、病毒、真菌、寄生虫；</w:t>
            </w:r>
          </w:p>
        </w:tc>
      </w:tr>
      <w:tr w:rsidR="00720F3F" w:rsidRPr="00582370" w14:paraId="4F590A89" w14:textId="77777777" w:rsidTr="00C210FA">
        <w:tc>
          <w:tcPr>
            <w:tcW w:w="700" w:type="dxa"/>
            <w:vAlign w:val="center"/>
          </w:tcPr>
          <w:p w14:paraId="7583A5C3"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*12</w:t>
            </w:r>
          </w:p>
        </w:tc>
        <w:tc>
          <w:tcPr>
            <w:tcW w:w="8433" w:type="dxa"/>
            <w:vAlign w:val="center"/>
          </w:tcPr>
          <w:p w14:paraId="567B32CF" w14:textId="77777777" w:rsidR="00720F3F" w:rsidRPr="00582370" w:rsidRDefault="00720F3F" w:rsidP="00C210FA">
            <w:pPr>
              <w:pStyle w:val="a6"/>
              <w:spacing w:line="300" w:lineRule="auto"/>
              <w:ind w:firstLineChars="0" w:firstLine="0"/>
              <w:jc w:val="left"/>
              <w:outlineLvl w:val="0"/>
              <w:rPr>
                <w:rFonts w:ascii="宋体" w:hAnsi="宋体" w:cs="宋体"/>
                <w:sz w:val="24"/>
                <w:shd w:val="clear" w:color="auto" w:fill="FFFFFF"/>
              </w:rPr>
            </w:pPr>
            <w:r w:rsidRPr="00582370">
              <w:rPr>
                <w:rFonts w:ascii="宋体" w:hAnsi="宋体" w:cs="宋体" w:hint="eastAsia"/>
                <w:sz w:val="24"/>
                <w:szCs w:val="24"/>
              </w:rPr>
              <w:t>投标人具备的分析软件能配合产生长测序读长（&gt; 500bp）或单碱基测序错误率低于10% FASTQ数据文件的基因测序仪使用；</w:t>
            </w:r>
          </w:p>
        </w:tc>
      </w:tr>
      <w:tr w:rsidR="00720F3F" w:rsidRPr="00582370" w14:paraId="1F2E7CDA" w14:textId="77777777" w:rsidTr="00C210FA">
        <w:tc>
          <w:tcPr>
            <w:tcW w:w="700" w:type="dxa"/>
            <w:vAlign w:val="center"/>
          </w:tcPr>
          <w:p w14:paraId="25F613B8"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*13</w:t>
            </w:r>
          </w:p>
        </w:tc>
        <w:tc>
          <w:tcPr>
            <w:tcW w:w="8433" w:type="dxa"/>
            <w:vAlign w:val="center"/>
          </w:tcPr>
          <w:p w14:paraId="6C5F4D89" w14:textId="77777777" w:rsidR="00720F3F" w:rsidRPr="00582370" w:rsidRDefault="00720F3F" w:rsidP="00C210FA">
            <w:pPr>
              <w:pStyle w:val="a6"/>
              <w:spacing w:line="300" w:lineRule="auto"/>
              <w:ind w:firstLineChars="0" w:firstLine="0"/>
              <w:jc w:val="left"/>
              <w:outlineLvl w:val="0"/>
              <w:rPr>
                <w:rFonts w:ascii="宋体" w:hAnsi="宋体" w:cs="宋体"/>
                <w:sz w:val="24"/>
                <w:shd w:val="clear" w:color="auto" w:fill="FFFFFF"/>
              </w:rPr>
            </w:pPr>
            <w:r w:rsidRPr="00582370">
              <w:rPr>
                <w:rFonts w:ascii="宋体" w:hAnsi="宋体" w:cs="宋体" w:hint="eastAsia"/>
                <w:sz w:val="24"/>
                <w:szCs w:val="24"/>
              </w:rPr>
              <w:t>投标人实验过程采用PCR的建库技术，每一步实验流程都有严格的质控体系，提供全流程质控证明材料；</w:t>
            </w:r>
          </w:p>
        </w:tc>
      </w:tr>
      <w:tr w:rsidR="00720F3F" w:rsidRPr="00582370" w14:paraId="0AAE0D51" w14:textId="77777777" w:rsidTr="00C210FA">
        <w:tc>
          <w:tcPr>
            <w:tcW w:w="700" w:type="dxa"/>
            <w:vAlign w:val="center"/>
          </w:tcPr>
          <w:p w14:paraId="5578893E"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14</w:t>
            </w:r>
          </w:p>
        </w:tc>
        <w:tc>
          <w:tcPr>
            <w:tcW w:w="8433" w:type="dxa"/>
            <w:vAlign w:val="center"/>
          </w:tcPr>
          <w:p w14:paraId="0C35E565" w14:textId="712F20D7" w:rsidR="00720F3F" w:rsidRPr="00582370" w:rsidRDefault="00720F3F" w:rsidP="00C210FA">
            <w:pPr>
              <w:pStyle w:val="a6"/>
              <w:spacing w:line="300" w:lineRule="auto"/>
              <w:ind w:firstLineChars="0" w:firstLine="0"/>
              <w:jc w:val="left"/>
              <w:outlineLvl w:val="0"/>
              <w:rPr>
                <w:rFonts w:ascii="宋体" w:hAnsi="宋体" w:cs="宋体"/>
                <w:sz w:val="24"/>
                <w:shd w:val="clear" w:color="auto" w:fill="FFFFFF"/>
              </w:rPr>
            </w:pPr>
            <w:r w:rsidRPr="00582370">
              <w:rPr>
                <w:rFonts w:ascii="宋体" w:hAnsi="宋体" w:cs="宋体" w:hint="eastAsia"/>
                <w:sz w:val="24"/>
                <w:szCs w:val="24"/>
              </w:rPr>
              <w:t>投标人保证交付数据和报告的时效性，在接收到样本之后到出具报告或者交付数据不超过24小时；</w:t>
            </w:r>
          </w:p>
        </w:tc>
      </w:tr>
      <w:tr w:rsidR="00720F3F" w:rsidRPr="00582370" w14:paraId="7C0FA810" w14:textId="77777777" w:rsidTr="00C210FA">
        <w:tc>
          <w:tcPr>
            <w:tcW w:w="700" w:type="dxa"/>
            <w:vAlign w:val="center"/>
          </w:tcPr>
          <w:p w14:paraId="524183B0"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15</w:t>
            </w:r>
          </w:p>
        </w:tc>
        <w:tc>
          <w:tcPr>
            <w:tcW w:w="8433" w:type="dxa"/>
            <w:vAlign w:val="center"/>
          </w:tcPr>
          <w:p w14:paraId="3665D7AC" w14:textId="48A06524" w:rsidR="00720F3F" w:rsidRPr="00582370" w:rsidRDefault="00720F3F" w:rsidP="00C210FA">
            <w:pPr>
              <w:spacing w:line="360" w:lineRule="auto"/>
              <w:ind w:firstLine="480"/>
              <w:rPr>
                <w:rFonts w:ascii="宋体" w:hAnsi="宋体" w:cs="宋体"/>
                <w:sz w:val="24"/>
                <w:shd w:val="clear" w:color="auto" w:fill="FFFFFF"/>
              </w:rPr>
            </w:pPr>
            <w:r w:rsidRPr="00582370">
              <w:rPr>
                <w:rFonts w:ascii="宋体" w:hAnsi="宋体" w:cs="宋体" w:hint="eastAsia"/>
                <w:sz w:val="24"/>
                <w:szCs w:val="24"/>
              </w:rPr>
              <w:t>病原微生物宏基因</w:t>
            </w:r>
            <w:r w:rsidRPr="00582370">
              <w:rPr>
                <w:rFonts w:hint="eastAsia"/>
                <w:sz w:val="24"/>
                <w:szCs w:val="24"/>
              </w:rPr>
              <w:t>高通量测序</w:t>
            </w:r>
            <w:r w:rsidRPr="00582370">
              <w:rPr>
                <w:rFonts w:ascii="宋体" w:hAnsi="宋体" w:cs="宋体" w:hint="eastAsia"/>
                <w:sz w:val="24"/>
                <w:szCs w:val="24"/>
              </w:rPr>
              <w:t>检测产品覆盖肺泡灌洗液、脑脊液、血液、痰液</w:t>
            </w:r>
            <w:r w:rsidR="00C073A7" w:rsidRPr="00582370">
              <w:rPr>
                <w:rFonts w:ascii="宋体" w:hAnsi="宋体" w:cs="宋体" w:hint="eastAsia"/>
                <w:sz w:val="24"/>
                <w:szCs w:val="24"/>
              </w:rPr>
              <w:t>、尿液、脓液、关节液、心包积液</w:t>
            </w:r>
            <w:r w:rsidRPr="00582370">
              <w:rPr>
                <w:rFonts w:ascii="宋体" w:hAnsi="宋体" w:cs="宋体" w:hint="eastAsia"/>
                <w:sz w:val="24"/>
                <w:szCs w:val="24"/>
              </w:rPr>
              <w:t>等多类型临床样本；</w:t>
            </w:r>
          </w:p>
        </w:tc>
      </w:tr>
      <w:tr w:rsidR="00720F3F" w:rsidRPr="00582370" w14:paraId="06A4180F" w14:textId="77777777" w:rsidTr="00C210FA">
        <w:trPr>
          <w:trHeight w:val="600"/>
        </w:trPr>
        <w:tc>
          <w:tcPr>
            <w:tcW w:w="700" w:type="dxa"/>
            <w:vAlign w:val="center"/>
          </w:tcPr>
          <w:p w14:paraId="7FAF720F"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*16</w:t>
            </w:r>
          </w:p>
        </w:tc>
        <w:tc>
          <w:tcPr>
            <w:tcW w:w="8433" w:type="dxa"/>
            <w:vAlign w:val="center"/>
          </w:tcPr>
          <w:p w14:paraId="08B79A38" w14:textId="77777777" w:rsidR="00720F3F" w:rsidRPr="00582370" w:rsidRDefault="00720F3F" w:rsidP="00C210FA">
            <w:pPr>
              <w:pStyle w:val="a6"/>
              <w:spacing w:line="300" w:lineRule="auto"/>
              <w:ind w:firstLineChars="0" w:firstLine="0"/>
              <w:jc w:val="left"/>
              <w:outlineLvl w:val="0"/>
              <w:rPr>
                <w:rFonts w:ascii="宋体" w:hAnsi="宋体" w:cs="宋体"/>
                <w:sz w:val="24"/>
                <w:shd w:val="clear" w:color="auto" w:fill="FFFFFF"/>
              </w:rPr>
            </w:pPr>
            <w:r w:rsidRPr="00582370">
              <w:rPr>
                <w:rFonts w:ascii="宋体" w:hAnsi="宋体" w:cs="宋体" w:hint="eastAsia"/>
                <w:sz w:val="24"/>
                <w:szCs w:val="24"/>
              </w:rPr>
              <w:t>病原微生物宏基因</w:t>
            </w:r>
            <w:r w:rsidRPr="00582370">
              <w:rPr>
                <w:rFonts w:hint="eastAsia"/>
                <w:sz w:val="24"/>
                <w:szCs w:val="24"/>
              </w:rPr>
              <w:t>高通量测序</w:t>
            </w:r>
            <w:r w:rsidRPr="00582370">
              <w:rPr>
                <w:rFonts w:ascii="宋体" w:hAnsi="宋体" w:cs="宋体" w:hint="eastAsia"/>
                <w:sz w:val="24"/>
                <w:szCs w:val="24"/>
              </w:rPr>
              <w:t>检测产品以“置信度”与“特异性序列数”，实现病原体精准鉴定与定量分析，辅助临床精准抗感染；</w:t>
            </w:r>
          </w:p>
        </w:tc>
      </w:tr>
      <w:tr w:rsidR="00720F3F" w:rsidRPr="00582370" w14:paraId="01C7033B" w14:textId="77777777" w:rsidTr="00C210FA">
        <w:tc>
          <w:tcPr>
            <w:tcW w:w="700" w:type="dxa"/>
            <w:vAlign w:val="center"/>
          </w:tcPr>
          <w:p w14:paraId="603BB663"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*17</w:t>
            </w:r>
          </w:p>
        </w:tc>
        <w:tc>
          <w:tcPr>
            <w:tcW w:w="8433" w:type="dxa"/>
            <w:vAlign w:val="center"/>
          </w:tcPr>
          <w:p w14:paraId="6DD0E3FB" w14:textId="77777777" w:rsidR="00720F3F" w:rsidRPr="00582370" w:rsidRDefault="00720F3F" w:rsidP="00C210FA">
            <w:pPr>
              <w:pStyle w:val="a6"/>
              <w:spacing w:line="300" w:lineRule="auto"/>
              <w:ind w:firstLineChars="0" w:firstLine="0"/>
              <w:jc w:val="left"/>
              <w:outlineLvl w:val="0"/>
              <w:rPr>
                <w:rFonts w:ascii="宋体" w:hAnsi="宋体" w:cs="宋体"/>
                <w:sz w:val="24"/>
                <w:shd w:val="clear" w:color="auto" w:fill="FFFFFF"/>
              </w:rPr>
            </w:pPr>
            <w:r w:rsidRPr="00582370">
              <w:rPr>
                <w:rFonts w:ascii="宋体" w:hAnsi="宋体" w:cs="宋体" w:hint="eastAsia"/>
                <w:sz w:val="24"/>
                <w:szCs w:val="24"/>
              </w:rPr>
              <w:t>病原微生物宏基因</w:t>
            </w:r>
            <w:r w:rsidRPr="00582370">
              <w:rPr>
                <w:rFonts w:hint="eastAsia"/>
                <w:sz w:val="24"/>
                <w:szCs w:val="24"/>
              </w:rPr>
              <w:t>高通量测序</w:t>
            </w:r>
            <w:r w:rsidRPr="00582370">
              <w:rPr>
                <w:rFonts w:ascii="宋体" w:hAnsi="宋体" w:cs="宋体" w:hint="eastAsia"/>
                <w:sz w:val="24"/>
                <w:szCs w:val="24"/>
              </w:rPr>
              <w:t>检测报告中有耐药基因和毒力因子的检出，可以同时体现物种检出序列数的特异性序列数，且有对应置信度的标注；</w:t>
            </w:r>
          </w:p>
        </w:tc>
      </w:tr>
      <w:tr w:rsidR="00720F3F" w:rsidRPr="00582370" w14:paraId="6553521A" w14:textId="77777777" w:rsidTr="00C210FA">
        <w:tc>
          <w:tcPr>
            <w:tcW w:w="700" w:type="dxa"/>
            <w:vAlign w:val="center"/>
          </w:tcPr>
          <w:p w14:paraId="4AD3A941"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18</w:t>
            </w:r>
          </w:p>
        </w:tc>
        <w:tc>
          <w:tcPr>
            <w:tcW w:w="8433" w:type="dxa"/>
            <w:vAlign w:val="center"/>
          </w:tcPr>
          <w:p w14:paraId="3510ECA5" w14:textId="44020F70" w:rsidR="00720F3F" w:rsidRPr="00582370" w:rsidRDefault="00720F3F" w:rsidP="00C210FA">
            <w:pPr>
              <w:pStyle w:val="a6"/>
              <w:spacing w:line="300" w:lineRule="auto"/>
              <w:ind w:firstLineChars="0" w:firstLine="0"/>
              <w:jc w:val="left"/>
              <w:outlineLvl w:val="0"/>
              <w:rPr>
                <w:rFonts w:ascii="宋体" w:hAnsi="宋体" w:cs="宋体"/>
                <w:sz w:val="24"/>
                <w:shd w:val="clear" w:color="auto" w:fill="FFFFFF"/>
              </w:rPr>
            </w:pPr>
            <w:r w:rsidRPr="00582370">
              <w:rPr>
                <w:rFonts w:hint="eastAsia"/>
                <w:sz w:val="24"/>
                <w:szCs w:val="24"/>
              </w:rPr>
              <w:t>病原微生物靶向高通量测序</w:t>
            </w:r>
            <w:r w:rsidRPr="00582370">
              <w:rPr>
                <w:rFonts w:ascii="宋体" w:hAnsi="宋体" w:cs="宋体" w:hint="eastAsia"/>
                <w:sz w:val="24"/>
                <w:szCs w:val="24"/>
              </w:rPr>
              <w:t>检测产品覆盖</w:t>
            </w:r>
            <w:r w:rsidR="00C073A7" w:rsidRPr="00582370">
              <w:rPr>
                <w:rFonts w:ascii="宋体" w:hAnsi="宋体" w:cs="宋体" w:hint="eastAsia"/>
                <w:sz w:val="24"/>
                <w:szCs w:val="24"/>
              </w:rPr>
              <w:t>肺泡灌洗液、脑脊液、血液、痰液、尿液、脓液、关节液、心包积液</w:t>
            </w:r>
            <w:r w:rsidRPr="00582370">
              <w:rPr>
                <w:rFonts w:ascii="宋体" w:hAnsi="宋体" w:cs="宋体" w:hint="eastAsia"/>
                <w:sz w:val="24"/>
                <w:szCs w:val="24"/>
              </w:rPr>
              <w:t>等多类型临床样本；</w:t>
            </w:r>
          </w:p>
        </w:tc>
      </w:tr>
      <w:tr w:rsidR="00720F3F" w:rsidRPr="00582370" w14:paraId="6F37C0CA" w14:textId="77777777" w:rsidTr="00C210FA">
        <w:tc>
          <w:tcPr>
            <w:tcW w:w="700" w:type="dxa"/>
            <w:vAlign w:val="center"/>
          </w:tcPr>
          <w:p w14:paraId="48819952"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*19</w:t>
            </w:r>
          </w:p>
        </w:tc>
        <w:tc>
          <w:tcPr>
            <w:tcW w:w="8433" w:type="dxa"/>
            <w:vAlign w:val="center"/>
          </w:tcPr>
          <w:p w14:paraId="2EE3AB84" w14:textId="77777777" w:rsidR="00720F3F" w:rsidRPr="00582370" w:rsidRDefault="00720F3F" w:rsidP="00C210FA">
            <w:pPr>
              <w:pStyle w:val="a6"/>
              <w:spacing w:line="300" w:lineRule="auto"/>
              <w:ind w:firstLineChars="0" w:firstLine="0"/>
              <w:jc w:val="left"/>
              <w:outlineLvl w:val="0"/>
              <w:rPr>
                <w:rFonts w:ascii="宋体" w:hAnsi="宋体" w:cs="宋体"/>
                <w:sz w:val="24"/>
                <w:shd w:val="clear" w:color="auto" w:fill="FFFFFF"/>
              </w:rPr>
            </w:pPr>
            <w:r w:rsidRPr="00582370">
              <w:rPr>
                <w:rFonts w:hint="eastAsia"/>
                <w:sz w:val="24"/>
                <w:szCs w:val="24"/>
              </w:rPr>
              <w:t>病原微生物靶向高通量测序</w:t>
            </w:r>
            <w:r w:rsidRPr="00582370">
              <w:rPr>
                <w:rFonts w:ascii="宋体" w:hAnsi="宋体" w:cs="宋体" w:hint="eastAsia"/>
                <w:sz w:val="24"/>
                <w:szCs w:val="24"/>
              </w:rPr>
              <w:t>检测产品要求采用使用超多重PCR靶向扩增技术与高通量测序技术，病原鉴定可以做到相对定量，病毒进一步分型，覆盖超过260种病原体；</w:t>
            </w:r>
          </w:p>
        </w:tc>
      </w:tr>
      <w:tr w:rsidR="00720F3F" w:rsidRPr="00582370" w14:paraId="7C339790" w14:textId="77777777" w:rsidTr="00C210FA">
        <w:tc>
          <w:tcPr>
            <w:tcW w:w="700" w:type="dxa"/>
            <w:vAlign w:val="center"/>
          </w:tcPr>
          <w:p w14:paraId="48EBFD6B"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*20</w:t>
            </w:r>
          </w:p>
        </w:tc>
        <w:tc>
          <w:tcPr>
            <w:tcW w:w="8433" w:type="dxa"/>
            <w:vAlign w:val="center"/>
          </w:tcPr>
          <w:p w14:paraId="2065CB43" w14:textId="3BA6A68E" w:rsidR="00720F3F" w:rsidRPr="00582370" w:rsidRDefault="00720F3F" w:rsidP="00C210FA">
            <w:pPr>
              <w:pStyle w:val="a6"/>
              <w:spacing w:line="300" w:lineRule="auto"/>
              <w:ind w:firstLineChars="0" w:firstLine="0"/>
              <w:jc w:val="left"/>
              <w:outlineLvl w:val="0"/>
              <w:rPr>
                <w:rFonts w:ascii="宋体" w:hAnsi="宋体" w:cs="宋体"/>
                <w:sz w:val="24"/>
                <w:shd w:val="clear" w:color="auto" w:fill="FFFFFF"/>
              </w:rPr>
            </w:pPr>
            <w:r w:rsidRPr="00582370">
              <w:rPr>
                <w:rFonts w:hint="eastAsia"/>
                <w:sz w:val="24"/>
                <w:szCs w:val="24"/>
              </w:rPr>
              <w:t>病原微生物靶向高通量测序</w:t>
            </w:r>
            <w:r w:rsidRPr="00582370">
              <w:rPr>
                <w:rFonts w:ascii="宋体" w:hAnsi="宋体" w:cs="宋体" w:hint="eastAsia"/>
                <w:sz w:val="24"/>
                <w:szCs w:val="24"/>
              </w:rPr>
              <w:t>检测产品</w:t>
            </w:r>
            <w:r w:rsidRPr="00582370">
              <w:rPr>
                <w:rFonts w:ascii="宋体" w:hAnsi="宋体" w:cs="宋体" w:hint="eastAsia"/>
                <w:sz w:val="24"/>
                <w:szCs w:val="24"/>
                <w:shd w:val="clear" w:color="auto" w:fill="FFFFFF"/>
              </w:rPr>
              <w:t>的检测范围≥10种结核分枝杆菌，达到种水平鉴定能力，包含结核分枝杆菌、牛结核分枝杆菌、非洲结核分枝杆菌及卡介苗等，及</w:t>
            </w:r>
            <w:r w:rsidR="00C073A7" w:rsidRPr="00582370">
              <w:rPr>
                <w:rFonts w:ascii="宋体" w:hAnsi="宋体" w:cs="宋体" w:hint="eastAsia"/>
                <w:sz w:val="24"/>
                <w:szCs w:val="24"/>
                <w:shd w:val="clear" w:color="auto" w:fill="FFFFFF"/>
              </w:rPr>
              <w:t>不低于4</w:t>
            </w:r>
            <w:r w:rsidR="00C073A7" w:rsidRPr="00582370">
              <w:rPr>
                <w:rFonts w:ascii="宋体" w:hAnsi="宋体" w:cs="宋体"/>
                <w:sz w:val="24"/>
                <w:szCs w:val="24"/>
                <w:shd w:val="clear" w:color="auto" w:fill="FFFFFF"/>
              </w:rPr>
              <w:t>0</w:t>
            </w:r>
            <w:r w:rsidRPr="00582370">
              <w:rPr>
                <w:rFonts w:ascii="宋体" w:hAnsi="宋体" w:cs="宋体" w:hint="eastAsia"/>
                <w:sz w:val="24"/>
                <w:szCs w:val="24"/>
                <w:shd w:val="clear" w:color="auto" w:fill="FFFFFF"/>
              </w:rPr>
              <w:t>种人致病相关的非结核分枝杆菌</w:t>
            </w:r>
            <w:r w:rsidR="00C073A7" w:rsidRPr="00582370">
              <w:rPr>
                <w:rFonts w:ascii="宋体" w:hAnsi="宋体" w:cs="宋体" w:hint="eastAsia"/>
                <w:sz w:val="24"/>
                <w:szCs w:val="24"/>
                <w:shd w:val="clear" w:color="auto" w:fill="FFFFFF"/>
              </w:rPr>
              <w:t>并鉴定至种或亚种水平</w:t>
            </w:r>
            <w:r w:rsidRPr="00582370">
              <w:rPr>
                <w:rFonts w:ascii="宋体" w:hAnsi="宋体" w:cs="宋体" w:hint="eastAsia"/>
                <w:sz w:val="24"/>
                <w:szCs w:val="24"/>
                <w:shd w:val="clear" w:color="auto" w:fill="FFFFFF"/>
              </w:rPr>
              <w:t>；</w:t>
            </w:r>
          </w:p>
        </w:tc>
      </w:tr>
      <w:tr w:rsidR="00720F3F" w:rsidRPr="00582370" w14:paraId="4263ABF1" w14:textId="77777777" w:rsidTr="00C210FA">
        <w:trPr>
          <w:trHeight w:val="1771"/>
        </w:trPr>
        <w:tc>
          <w:tcPr>
            <w:tcW w:w="700" w:type="dxa"/>
            <w:vAlign w:val="center"/>
          </w:tcPr>
          <w:p w14:paraId="624A616D"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*2</w:t>
            </w:r>
            <w:r w:rsidRPr="00582370">
              <w:rPr>
                <w:rFonts w:ascii="宋体" w:hAnsi="宋体" w:cs="宋体"/>
                <w:sz w:val="24"/>
              </w:rPr>
              <w:t>1</w:t>
            </w:r>
          </w:p>
        </w:tc>
        <w:tc>
          <w:tcPr>
            <w:tcW w:w="8433" w:type="dxa"/>
            <w:vAlign w:val="center"/>
          </w:tcPr>
          <w:p w14:paraId="5A888503" w14:textId="465D14A3" w:rsidR="00720F3F" w:rsidRPr="00582370" w:rsidRDefault="00720F3F" w:rsidP="00C210FA">
            <w:pPr>
              <w:pStyle w:val="a6"/>
              <w:spacing w:line="300" w:lineRule="auto"/>
              <w:ind w:firstLineChars="0" w:firstLine="0"/>
              <w:jc w:val="left"/>
              <w:outlineLvl w:val="0"/>
              <w:rPr>
                <w:rFonts w:ascii="宋体" w:hAnsi="宋体" w:cs="宋体" w:hint="eastAsia"/>
                <w:sz w:val="24"/>
                <w:shd w:val="clear" w:color="auto" w:fill="FFFFFF"/>
              </w:rPr>
            </w:pPr>
            <w:r w:rsidRPr="00582370">
              <w:rPr>
                <w:rFonts w:hint="eastAsia"/>
                <w:sz w:val="24"/>
                <w:szCs w:val="24"/>
              </w:rPr>
              <w:t>病原微生物靶向高通量测序</w:t>
            </w:r>
            <w:r w:rsidRPr="00582370">
              <w:rPr>
                <w:rFonts w:ascii="宋体" w:hAnsi="宋体" w:cs="宋体" w:hint="eastAsia"/>
                <w:sz w:val="24"/>
                <w:szCs w:val="24"/>
              </w:rPr>
              <w:t>检测产品</w:t>
            </w:r>
            <w:r w:rsidRPr="00582370">
              <w:rPr>
                <w:rFonts w:ascii="宋体" w:hAnsi="宋体" w:cs="宋体" w:hint="eastAsia"/>
                <w:sz w:val="24"/>
                <w:szCs w:val="24"/>
                <w:shd w:val="clear" w:color="auto" w:fill="FFFFFF"/>
              </w:rPr>
              <w:t>具备抗结核分枝杆菌一线、二线药物</w:t>
            </w:r>
            <w:r w:rsidR="00C073A7" w:rsidRPr="00582370">
              <w:rPr>
                <w:rFonts w:ascii="宋体" w:hAnsi="宋体" w:cs="宋体" w:hint="eastAsia"/>
                <w:sz w:val="24"/>
                <w:szCs w:val="24"/>
                <w:shd w:val="clear" w:color="auto" w:fill="FFFFFF"/>
              </w:rPr>
              <w:t>（能包含</w:t>
            </w:r>
            <w:r w:rsidRPr="00582370">
              <w:rPr>
                <w:rFonts w:ascii="宋体" w:hAnsi="宋体" w:cs="宋体" w:hint="eastAsia"/>
                <w:sz w:val="24"/>
                <w:szCs w:val="24"/>
                <w:shd w:val="clear" w:color="auto" w:fill="FFFFFF"/>
              </w:rPr>
              <w:t>抗非结核分枝杆菌药物</w:t>
            </w:r>
            <w:r w:rsidR="00C073A7" w:rsidRPr="00582370">
              <w:rPr>
                <w:rFonts w:ascii="宋体" w:hAnsi="宋体" w:cs="宋体" w:hint="eastAsia"/>
                <w:sz w:val="24"/>
                <w:szCs w:val="24"/>
                <w:shd w:val="clear" w:color="auto" w:fill="FFFFFF"/>
              </w:rPr>
              <w:t>）</w:t>
            </w:r>
            <w:r w:rsidRPr="00582370">
              <w:rPr>
                <w:rFonts w:ascii="宋体" w:hAnsi="宋体" w:cs="宋体" w:hint="eastAsia"/>
                <w:sz w:val="24"/>
                <w:szCs w:val="24"/>
                <w:shd w:val="clear" w:color="auto" w:fill="FFFFFF"/>
              </w:rPr>
              <w:t>的耐药基因的点突变分析能力，检测耐药基因</w:t>
            </w:r>
            <w:r w:rsidR="00C073A7" w:rsidRPr="00582370">
              <w:rPr>
                <w:rFonts w:ascii="宋体" w:hAnsi="宋体" w:cs="宋体" w:hint="eastAsia"/>
                <w:sz w:val="24"/>
                <w:szCs w:val="24"/>
                <w:shd w:val="clear" w:color="auto" w:fill="FFFFFF"/>
              </w:rPr>
              <w:t>需涵盖</w:t>
            </w:r>
            <w:r w:rsidR="00C073A7" w:rsidRPr="00582370">
              <w:rPr>
                <w:rFonts w:ascii="宋体" w:hAnsi="宋体" w:cs="宋体"/>
                <w:sz w:val="24"/>
                <w:szCs w:val="24"/>
                <w:shd w:val="clear" w:color="auto" w:fill="FFFFFF"/>
              </w:rPr>
              <w:t>WHO</w:t>
            </w:r>
            <w:r w:rsidR="00C073A7" w:rsidRPr="00582370">
              <w:rPr>
                <w:rFonts w:ascii="宋体" w:hAnsi="宋体" w:cs="宋体" w:hint="eastAsia"/>
                <w:sz w:val="24"/>
                <w:szCs w:val="24"/>
                <w:shd w:val="clear" w:color="auto" w:fill="FFFFFF"/>
              </w:rPr>
              <w:t>推荐的1</w:t>
            </w:r>
            <w:r w:rsidR="00C073A7" w:rsidRPr="00582370">
              <w:rPr>
                <w:rFonts w:ascii="宋体" w:hAnsi="宋体" w:cs="宋体"/>
                <w:sz w:val="24"/>
                <w:szCs w:val="24"/>
                <w:shd w:val="clear" w:color="auto" w:fill="FFFFFF"/>
              </w:rPr>
              <w:t>3</w:t>
            </w:r>
            <w:r w:rsidR="00C073A7" w:rsidRPr="00582370">
              <w:rPr>
                <w:rFonts w:ascii="宋体" w:hAnsi="宋体" w:cs="宋体" w:hint="eastAsia"/>
                <w:sz w:val="24"/>
                <w:szCs w:val="24"/>
                <w:shd w:val="clear" w:color="auto" w:fill="FFFFFF"/>
              </w:rPr>
              <w:t>种药物</w:t>
            </w:r>
            <w:r w:rsidRPr="00582370">
              <w:rPr>
                <w:rFonts w:ascii="宋体" w:hAnsi="宋体" w:cs="宋体" w:hint="eastAsia"/>
                <w:sz w:val="24"/>
                <w:szCs w:val="24"/>
                <w:shd w:val="clear" w:color="auto" w:fill="FFFFFF"/>
              </w:rPr>
              <w:t>，并有相应的报告呈现；</w:t>
            </w:r>
          </w:p>
        </w:tc>
      </w:tr>
      <w:tr w:rsidR="00720F3F" w:rsidRPr="00582370" w14:paraId="3169D72B" w14:textId="77777777" w:rsidTr="00C210FA">
        <w:tc>
          <w:tcPr>
            <w:tcW w:w="700" w:type="dxa"/>
            <w:vAlign w:val="center"/>
          </w:tcPr>
          <w:p w14:paraId="04C80CF4"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t>*2</w:t>
            </w:r>
            <w:r w:rsidRPr="00582370">
              <w:rPr>
                <w:rFonts w:ascii="宋体" w:hAnsi="宋体" w:cs="宋体"/>
                <w:sz w:val="24"/>
              </w:rPr>
              <w:t>2</w:t>
            </w:r>
          </w:p>
        </w:tc>
        <w:tc>
          <w:tcPr>
            <w:tcW w:w="8433" w:type="dxa"/>
            <w:vAlign w:val="center"/>
          </w:tcPr>
          <w:p w14:paraId="09A59C4C" w14:textId="77777777" w:rsidR="00720F3F" w:rsidRPr="00582370" w:rsidRDefault="00720F3F" w:rsidP="00C210FA">
            <w:pPr>
              <w:pStyle w:val="a6"/>
              <w:spacing w:line="300" w:lineRule="auto"/>
              <w:ind w:firstLineChars="0" w:firstLine="0"/>
              <w:jc w:val="left"/>
              <w:outlineLvl w:val="0"/>
              <w:rPr>
                <w:rFonts w:ascii="宋体" w:hAnsi="宋体" w:cs="宋体"/>
                <w:sz w:val="24"/>
                <w:shd w:val="clear" w:color="auto" w:fill="FFFFFF"/>
              </w:rPr>
            </w:pPr>
            <w:r w:rsidRPr="00582370">
              <w:rPr>
                <w:rFonts w:hint="eastAsia"/>
                <w:sz w:val="24"/>
                <w:szCs w:val="24"/>
              </w:rPr>
              <w:t>病原微生物靶向高通量测序</w:t>
            </w:r>
            <w:r w:rsidRPr="00582370">
              <w:rPr>
                <w:rFonts w:ascii="宋体" w:hAnsi="宋体" w:cs="宋体" w:hint="eastAsia"/>
                <w:sz w:val="24"/>
                <w:szCs w:val="24"/>
              </w:rPr>
              <w:t>检测产品</w:t>
            </w:r>
            <w:r w:rsidRPr="00582370">
              <w:rPr>
                <w:rFonts w:ascii="宋体" w:hAnsi="宋体" w:cs="宋体" w:hint="eastAsia"/>
                <w:sz w:val="24"/>
                <w:szCs w:val="24"/>
                <w:shd w:val="clear" w:color="auto" w:fill="FFFFFF"/>
              </w:rPr>
              <w:t>检测最低检出限（LOD值），结核分枝杆菌需≥5 copies/mL，脓肿分枝杆菌、胞内分枝杆菌及龟分枝杆菌等需≥30-</w:t>
            </w:r>
            <w:r w:rsidRPr="00582370">
              <w:rPr>
                <w:rFonts w:ascii="宋体" w:hAnsi="宋体" w:cs="宋体" w:hint="eastAsia"/>
                <w:sz w:val="24"/>
                <w:szCs w:val="24"/>
                <w:shd w:val="clear" w:color="auto" w:fill="FFFFFF"/>
              </w:rPr>
              <w:lastRenderedPageBreak/>
              <w:t>100 copies/mL；</w:t>
            </w:r>
          </w:p>
        </w:tc>
      </w:tr>
      <w:tr w:rsidR="00720F3F" w14:paraId="34AD315F" w14:textId="77777777" w:rsidTr="00C210FA">
        <w:tc>
          <w:tcPr>
            <w:tcW w:w="700" w:type="dxa"/>
            <w:vAlign w:val="center"/>
          </w:tcPr>
          <w:p w14:paraId="44705201" w14:textId="77777777" w:rsidR="00720F3F" w:rsidRPr="00582370" w:rsidRDefault="00720F3F" w:rsidP="00C210FA">
            <w:pPr>
              <w:pStyle w:val="a6"/>
              <w:spacing w:line="300" w:lineRule="auto"/>
              <w:ind w:firstLineChars="0" w:firstLine="0"/>
              <w:jc w:val="center"/>
              <w:outlineLvl w:val="0"/>
              <w:rPr>
                <w:rFonts w:ascii="宋体" w:hAnsi="宋体" w:cs="宋体"/>
                <w:sz w:val="24"/>
              </w:rPr>
            </w:pPr>
            <w:r w:rsidRPr="00582370">
              <w:rPr>
                <w:rFonts w:ascii="宋体" w:hAnsi="宋体" w:cs="宋体" w:hint="eastAsia"/>
                <w:sz w:val="24"/>
                <w:szCs w:val="24"/>
              </w:rPr>
              <w:lastRenderedPageBreak/>
              <w:t>*2</w:t>
            </w:r>
            <w:r w:rsidRPr="00582370">
              <w:rPr>
                <w:rFonts w:ascii="宋体" w:hAnsi="宋体" w:cs="宋体"/>
                <w:sz w:val="24"/>
              </w:rPr>
              <w:t>3</w:t>
            </w:r>
          </w:p>
        </w:tc>
        <w:tc>
          <w:tcPr>
            <w:tcW w:w="8433" w:type="dxa"/>
            <w:vAlign w:val="center"/>
          </w:tcPr>
          <w:p w14:paraId="2406D1D9" w14:textId="77777777" w:rsidR="00720F3F" w:rsidRDefault="00720F3F" w:rsidP="00C210FA">
            <w:pPr>
              <w:pStyle w:val="a6"/>
              <w:spacing w:line="300" w:lineRule="auto"/>
              <w:ind w:firstLineChars="0" w:firstLine="0"/>
              <w:jc w:val="left"/>
              <w:outlineLvl w:val="0"/>
              <w:rPr>
                <w:sz w:val="24"/>
              </w:rPr>
            </w:pPr>
            <w:r w:rsidRPr="00582370">
              <w:rPr>
                <w:rFonts w:ascii="宋体" w:hAnsi="宋体" w:cs="宋体" w:hint="eastAsia"/>
                <w:sz w:val="24"/>
                <w:szCs w:val="24"/>
              </w:rPr>
              <w:t>投标人有单独针对血液检测的</w:t>
            </w:r>
            <w:r w:rsidRPr="00582370">
              <w:rPr>
                <w:rFonts w:hint="eastAsia"/>
                <w:sz w:val="24"/>
                <w:szCs w:val="24"/>
              </w:rPr>
              <w:t>病原微生物靶向高通量测序</w:t>
            </w:r>
            <w:r w:rsidRPr="00582370">
              <w:rPr>
                <w:rFonts w:ascii="宋体" w:hAnsi="宋体" w:cs="宋体" w:hint="eastAsia"/>
                <w:sz w:val="24"/>
                <w:szCs w:val="24"/>
              </w:rPr>
              <w:t>检测产品，检测范围覆盖超过80种病原体，超过15种耐药基因，该产品对细菌真菌检测单拷贝级别，病毒10copies/mL。</w:t>
            </w:r>
          </w:p>
        </w:tc>
      </w:tr>
    </w:tbl>
    <w:p w14:paraId="1346E32C" w14:textId="77777777" w:rsidR="00C80E2A" w:rsidRPr="00720F3F" w:rsidRDefault="00C80E2A"/>
    <w:sectPr w:rsidR="00C80E2A" w:rsidRPr="00720F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3CFAE"/>
    <w:multiLevelType w:val="singleLevel"/>
    <w:tmpl w:val="33A3CFAE"/>
    <w:lvl w:ilvl="0">
      <w:start w:val="1"/>
      <w:numFmt w:val="chineseCounting"/>
      <w:suff w:val="space"/>
      <w:lvlText w:val="%1、"/>
      <w:lvlJc w:val="left"/>
      <w:rPr>
        <w:rFonts w:hint="eastAsia"/>
      </w:rPr>
    </w:lvl>
  </w:abstractNum>
  <w:abstractNum w:abstractNumId="1" w15:restartNumberingAfterBreak="0">
    <w:nsid w:val="488B1BA2"/>
    <w:multiLevelType w:val="singleLevel"/>
    <w:tmpl w:val="488B1BA2"/>
    <w:lvl w:ilvl="0">
      <w:start w:val="4"/>
      <w:numFmt w:val="decimal"/>
      <w:suff w:val="nothing"/>
      <w:lvlText w:val="%1、"/>
      <w:lvlJc w:val="left"/>
    </w:lvl>
  </w:abstractNum>
  <w:abstractNum w:abstractNumId="2" w15:restartNumberingAfterBreak="0">
    <w:nsid w:val="79CB2E13"/>
    <w:multiLevelType w:val="singleLevel"/>
    <w:tmpl w:val="79CB2E13"/>
    <w:lvl w:ilvl="0">
      <w:start w:val="2"/>
      <w:numFmt w:val="chineseCounting"/>
      <w:suff w:val="nothing"/>
      <w:lvlText w:val="%1、"/>
      <w:lvlJc w:val="left"/>
      <w:rPr>
        <w:rFonts w:hint="eastAsia"/>
      </w:rPr>
    </w:lvl>
  </w:abstractNum>
  <w:num w:numId="1" w16cid:durableId="761800780">
    <w:abstractNumId w:val="0"/>
  </w:num>
  <w:num w:numId="2" w16cid:durableId="1014457078">
    <w:abstractNumId w:val="2"/>
  </w:num>
  <w:num w:numId="3" w16cid:durableId="1559780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3F"/>
    <w:rsid w:val="00582370"/>
    <w:rsid w:val="00720F3F"/>
    <w:rsid w:val="00C073A7"/>
    <w:rsid w:val="00C80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4F4C9DC"/>
  <w15:chartTrackingRefBased/>
  <w15:docId w15:val="{9DA75035-2C20-EC4B-A201-2ABE169B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20F3F"/>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720F3F"/>
    <w:pPr>
      <w:ind w:left="120"/>
    </w:pPr>
    <w:rPr>
      <w:rFonts w:ascii="微软雅黑" w:eastAsia="微软雅黑" w:hAnsi="微软雅黑"/>
      <w:sz w:val="24"/>
    </w:rPr>
  </w:style>
  <w:style w:type="character" w:customStyle="1" w:styleId="a4">
    <w:name w:val="正文文本 字符"/>
    <w:basedOn w:val="a1"/>
    <w:link w:val="a0"/>
    <w:rsid w:val="00720F3F"/>
    <w:rPr>
      <w:rFonts w:ascii="微软雅黑" w:eastAsia="微软雅黑" w:hAnsi="微软雅黑"/>
      <w:sz w:val="24"/>
    </w:rPr>
  </w:style>
  <w:style w:type="table" w:styleId="a5">
    <w:name w:val="Table Grid"/>
    <w:basedOn w:val="a2"/>
    <w:qFormat/>
    <w:rsid w:val="00720F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autoRedefine/>
    <w:uiPriority w:val="34"/>
    <w:qFormat/>
    <w:rsid w:val="00720F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zhao</dc:creator>
  <cp:keywords/>
  <dc:description/>
  <cp:lastModifiedBy>yan zhao</cp:lastModifiedBy>
  <cp:revision>3</cp:revision>
  <dcterms:created xsi:type="dcterms:W3CDTF">2024-07-25T03:12:00Z</dcterms:created>
  <dcterms:modified xsi:type="dcterms:W3CDTF">2024-08-05T07:41:00Z</dcterms:modified>
</cp:coreProperties>
</file>