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50" w:rightChars="-405"/>
        <w:jc w:val="center"/>
        <w:rPr>
          <w:rFonts w:hint="eastAsia" w:eastAsia="黑体"/>
          <w:b/>
          <w:sz w:val="48"/>
        </w:rPr>
      </w:pPr>
    </w:p>
    <w:p>
      <w:pPr>
        <w:ind w:right="-850" w:rightChars="-405"/>
        <w:jc w:val="center"/>
        <w:rPr>
          <w:rFonts w:hint="eastAsia" w:eastAsia="黑体"/>
          <w:b/>
          <w:sz w:val="48"/>
        </w:rPr>
      </w:pPr>
    </w:p>
    <w:p>
      <w:pPr>
        <w:ind w:right="-850" w:rightChars="-405"/>
        <w:jc w:val="center"/>
        <w:rPr>
          <w:rFonts w:hint="eastAsia" w:eastAsia="黑体"/>
          <w:b/>
          <w:sz w:val="48"/>
        </w:rPr>
      </w:pPr>
    </w:p>
    <w:p>
      <w:pPr>
        <w:ind w:right="-850" w:rightChars="-405"/>
        <w:jc w:val="center"/>
        <w:rPr>
          <w:rFonts w:hint="eastAsia" w:eastAsia="黑体"/>
          <w:b/>
          <w:sz w:val="48"/>
        </w:rPr>
      </w:pPr>
    </w:p>
    <w:p>
      <w:pPr>
        <w:ind w:right="-850" w:rightChars="-405"/>
        <w:jc w:val="both"/>
        <w:rPr>
          <w:rFonts w:hint="eastAsia" w:eastAsia="黑体"/>
          <w:b/>
          <w:sz w:val="48"/>
        </w:rPr>
      </w:pPr>
      <w:bookmarkStart w:id="4" w:name="_GoBack"/>
      <w:bookmarkEnd w:id="4"/>
    </w:p>
    <w:p>
      <w:pPr>
        <w:ind w:right="-850" w:rightChars="-405"/>
        <w:jc w:val="center"/>
        <w:rPr>
          <w:rFonts w:hint="eastAsia" w:eastAsia="黑体"/>
          <w:b/>
          <w:sz w:val="48"/>
        </w:rPr>
      </w:pPr>
    </w:p>
    <w:p>
      <w:pPr>
        <w:ind w:right="-850" w:rightChars="-405"/>
        <w:jc w:val="center"/>
        <w:rPr>
          <w:rFonts w:hint="eastAsia" w:eastAsia="黑体"/>
          <w:b/>
          <w:sz w:val="48"/>
        </w:rPr>
      </w:pPr>
    </w:p>
    <w:p>
      <w:pPr>
        <w:ind w:right="-850" w:rightChars="-405"/>
        <w:jc w:val="center"/>
        <w:rPr>
          <w:rFonts w:hint="eastAsia" w:eastAsia="黑体"/>
          <w:b/>
          <w:sz w:val="48"/>
        </w:rPr>
      </w:pPr>
    </w:p>
    <w:p>
      <w:pPr>
        <w:ind w:right="-850" w:rightChars="-405"/>
        <w:jc w:val="center"/>
        <w:rPr>
          <w:rFonts w:eastAsia="黑体"/>
          <w:b/>
          <w:sz w:val="48"/>
        </w:rPr>
      </w:pPr>
      <w:r>
        <w:rPr>
          <w:rFonts w:hint="eastAsia" w:eastAsia="黑体"/>
          <w:b/>
          <w:sz w:val="48"/>
        </w:rPr>
        <w:t>技术服务合同</w:t>
      </w:r>
    </w:p>
    <w:p>
      <w:pPr>
        <w:spacing w:line="312" w:lineRule="auto"/>
        <w:ind w:right="-850" w:rightChars="-405"/>
        <w:jc w:val="center"/>
        <w:rPr>
          <w:b/>
          <w:sz w:val="30"/>
        </w:rPr>
      </w:pPr>
    </w:p>
    <w:p>
      <w:pPr>
        <w:spacing w:line="312" w:lineRule="auto"/>
        <w:ind w:right="-850" w:rightChars="-405" w:firstLine="1168" w:firstLineChars="487"/>
        <w:jc w:val="right"/>
        <w:rPr>
          <w:sz w:val="24"/>
          <w:szCs w:val="24"/>
        </w:rPr>
      </w:pPr>
    </w:p>
    <w:p>
      <w:pPr>
        <w:spacing w:line="312" w:lineRule="auto"/>
        <w:ind w:right="-850" w:rightChars="-405" w:firstLine="1168" w:firstLineChars="487"/>
        <w:jc w:val="right"/>
        <w:rPr>
          <w:sz w:val="24"/>
          <w:szCs w:val="24"/>
        </w:rPr>
      </w:pPr>
    </w:p>
    <w:p>
      <w:pPr>
        <w:spacing w:line="312" w:lineRule="auto"/>
        <w:ind w:right="-850" w:rightChars="-405" w:firstLine="1558" w:firstLineChars="487"/>
        <w:jc w:val="center"/>
        <w:rPr>
          <w:rFonts w:eastAsia="黑体"/>
          <w:sz w:val="32"/>
          <w:u w:val="single"/>
        </w:rPr>
      </w:pPr>
    </w:p>
    <w:p>
      <w:pPr>
        <w:spacing w:line="312" w:lineRule="auto"/>
        <w:ind w:right="-850" w:rightChars="-405" w:firstLine="1558" w:firstLineChars="487"/>
        <w:jc w:val="right"/>
        <w:rPr>
          <w:rFonts w:eastAsia="黑体"/>
          <w:sz w:val="32"/>
          <w:u w:val="single"/>
        </w:rPr>
      </w:pPr>
      <w:r>
        <w:rPr>
          <w:rFonts w:hint="eastAsia" w:eastAsia="黑体"/>
          <w:sz w:val="32"/>
          <w:u w:val="single"/>
        </w:rPr>
        <w:t xml:space="preserve">     </w:t>
      </w:r>
    </w:p>
    <w:p>
      <w:pPr>
        <w:spacing w:line="312" w:lineRule="auto"/>
        <w:ind w:right="-850" w:rightChars="-405" w:firstLine="600" w:firstLineChars="200"/>
        <w:jc w:val="center"/>
        <w:rPr>
          <w:rFonts w:eastAsia="楷体_GB2312"/>
          <w:sz w:val="30"/>
        </w:rPr>
      </w:pPr>
    </w:p>
    <w:p>
      <w:pPr>
        <w:spacing w:line="312" w:lineRule="auto"/>
        <w:ind w:right="-850" w:rightChars="-405" w:firstLine="600" w:firstLineChars="200"/>
        <w:jc w:val="center"/>
        <w:rPr>
          <w:rFonts w:eastAsia="楷体_GB2312"/>
          <w:sz w:val="30"/>
        </w:rPr>
      </w:pPr>
    </w:p>
    <w:p>
      <w:pPr>
        <w:spacing w:line="312" w:lineRule="auto"/>
        <w:ind w:right="-850" w:rightChars="-405" w:firstLine="639" w:firstLineChars="199"/>
        <w:rPr>
          <w:b/>
          <w:sz w:val="32"/>
        </w:rPr>
      </w:pPr>
    </w:p>
    <w:p>
      <w:pPr>
        <w:spacing w:line="480" w:lineRule="auto"/>
        <w:ind w:right="-850" w:rightChars="-405"/>
        <w:rPr>
          <w:b/>
          <w:sz w:val="32"/>
        </w:rPr>
      </w:pPr>
      <w:r>
        <w:rPr>
          <w:rFonts w:hint="eastAsia"/>
          <w:b/>
          <w:spacing w:val="100"/>
          <w:sz w:val="32"/>
        </w:rPr>
        <w:t>项目名称</w:t>
      </w:r>
      <w:r>
        <w:rPr>
          <w:rFonts w:hint="eastAsia"/>
          <w:b/>
          <w:sz w:val="32"/>
        </w:rPr>
        <w:t>：</w:t>
      </w:r>
      <w:r>
        <w:rPr>
          <w:b/>
          <w:sz w:val="32"/>
        </w:rPr>
        <w:t xml:space="preserve"> </w:t>
      </w:r>
    </w:p>
    <w:p>
      <w:pPr>
        <w:spacing w:line="480" w:lineRule="auto"/>
        <w:ind w:right="-850" w:rightChars="-405"/>
        <w:rPr>
          <w:sz w:val="32"/>
          <w:u w:val="single"/>
        </w:rPr>
      </w:pPr>
      <w:r>
        <w:rPr>
          <w:rFonts w:hint="eastAsia"/>
          <w:b/>
          <w:sz w:val="32"/>
        </w:rPr>
        <w:t>委托方（甲方）：</w:t>
      </w:r>
      <w:r>
        <w:rPr>
          <w:rFonts w:hint="eastAsia"/>
          <w:sz w:val="32"/>
          <w:u w:val="single"/>
        </w:rPr>
        <w:t>北京市结核病胸部肿瘤研究所</w:t>
      </w:r>
    </w:p>
    <w:p>
      <w:pPr>
        <w:spacing w:line="480" w:lineRule="auto"/>
        <w:ind w:right="-850" w:rightChars="-405"/>
        <w:rPr>
          <w:sz w:val="32"/>
          <w:u w:val="single"/>
        </w:rPr>
      </w:pPr>
      <w:r>
        <w:rPr>
          <w:rFonts w:hint="eastAsia"/>
          <w:b/>
          <w:sz w:val="32"/>
        </w:rPr>
        <w:t>受托方（乙方）：</w:t>
      </w:r>
      <w:r>
        <w:rPr>
          <w:sz w:val="32"/>
          <w:u w:val="single"/>
        </w:rPr>
        <w:t xml:space="preserve"> </w:t>
      </w:r>
    </w:p>
    <w:p>
      <w:pPr>
        <w:spacing w:line="480" w:lineRule="auto"/>
        <w:ind w:right="-850" w:rightChars="-405"/>
        <w:rPr>
          <w:b/>
          <w:sz w:val="32"/>
        </w:rPr>
      </w:pPr>
      <w:r>
        <w:rPr>
          <w:rFonts w:hint="eastAsia"/>
          <w:b/>
          <w:spacing w:val="100"/>
          <w:sz w:val="32"/>
        </w:rPr>
        <w:t>签订地点</w:t>
      </w:r>
      <w:r>
        <w:rPr>
          <w:rFonts w:hint="eastAsia"/>
          <w:b/>
          <w:sz w:val="32"/>
        </w:rPr>
        <w:t>：</w:t>
      </w:r>
      <w:r>
        <w:rPr>
          <w:rFonts w:hint="eastAsia"/>
          <w:sz w:val="32"/>
          <w:u w:val="single"/>
        </w:rPr>
        <w:t>北京</w:t>
      </w:r>
    </w:p>
    <w:p>
      <w:pPr>
        <w:ind w:right="-850" w:rightChars="-405"/>
        <w:rPr>
          <w:rFonts w:eastAsia="黑体"/>
          <w:sz w:val="36"/>
          <w:highlight w:val="yellow"/>
        </w:rPr>
      </w:pPr>
    </w:p>
    <w:p>
      <w:pPr>
        <w:ind w:right="-850" w:rightChars="-405"/>
        <w:rPr>
          <w:rFonts w:eastAsia="黑体"/>
          <w:sz w:val="36"/>
        </w:rPr>
        <w:sectPr>
          <w:headerReference r:id="rId4" w:type="first"/>
          <w:headerReference r:id="rId3" w:type="default"/>
          <w:footerReference r:id="rId5" w:type="default"/>
          <w:footerReference r:id="rId6" w:type="even"/>
          <w:pgSz w:w="11906" w:h="16838"/>
          <w:pgMar w:top="1474" w:right="1701" w:bottom="1247" w:left="1701" w:header="851" w:footer="992" w:gutter="0"/>
          <w:cols w:space="720" w:num="1"/>
          <w:titlePg/>
          <w:docGrid w:linePitch="312" w:charSpace="0"/>
        </w:sectPr>
      </w:pPr>
    </w:p>
    <w:p>
      <w:pPr>
        <w:spacing w:line="520" w:lineRule="exact"/>
        <w:ind w:right="-850" w:rightChars="-405"/>
        <w:rPr>
          <w:sz w:val="36"/>
        </w:rPr>
      </w:pPr>
    </w:p>
    <w:p>
      <w:pPr>
        <w:spacing w:line="520" w:lineRule="exact"/>
        <w:ind w:right="-850" w:rightChars="-405"/>
        <w:jc w:val="center"/>
        <w:rPr>
          <w:rFonts w:eastAsia="黑体"/>
          <w:sz w:val="44"/>
        </w:rPr>
      </w:pPr>
      <w:r>
        <w:rPr>
          <w:rFonts w:hint="eastAsia" w:eastAsia="黑体"/>
          <w:sz w:val="44"/>
        </w:rPr>
        <w:t>技术服务合同</w:t>
      </w:r>
    </w:p>
    <w:p>
      <w:pPr>
        <w:spacing w:line="520" w:lineRule="exact"/>
        <w:ind w:right="-850" w:rightChars="-405"/>
        <w:rPr>
          <w:sz w:val="24"/>
        </w:rPr>
      </w:pPr>
    </w:p>
    <w:p>
      <w:pPr>
        <w:widowControl/>
        <w:spacing w:line="360" w:lineRule="atLeast"/>
        <w:jc w:val="left"/>
        <w:rPr>
          <w:rFonts w:eastAsia="楷体_GB2312"/>
          <w:color w:val="000000"/>
          <w:szCs w:val="21"/>
        </w:rPr>
      </w:pPr>
    </w:p>
    <w:tbl>
      <w:tblPr>
        <w:tblStyle w:val="6"/>
        <w:tblW w:w="6920" w:type="dxa"/>
        <w:tblInd w:w="81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4"/>
        <w:gridCol w:w="56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jc w:val="left"/>
              <w:rPr>
                <w:bCs/>
                <w:sz w:val="24"/>
                <w:szCs w:val="24"/>
              </w:rPr>
            </w:pPr>
            <w:r>
              <w:rPr>
                <w:bCs/>
                <w:sz w:val="24"/>
                <w:szCs w:val="24"/>
              </w:rPr>
              <w:t>甲  方：</w:t>
            </w:r>
          </w:p>
        </w:tc>
        <w:tc>
          <w:tcPr>
            <w:tcW w:w="5616" w:type="dxa"/>
            <w:tcBorders>
              <w:top w:val="nil"/>
              <w:left w:val="nil"/>
              <w:bottom w:val="single" w:color="auto" w:sz="4" w:space="0"/>
              <w:right w:val="nil"/>
            </w:tcBorders>
            <w:vAlign w:val="center"/>
          </w:tcPr>
          <w:p>
            <w:pPr>
              <w:snapToGrid w:val="0"/>
              <w:spacing w:before="156" w:beforeLines="50" w:line="360" w:lineRule="auto"/>
              <w:jc w:val="center"/>
              <w:rPr>
                <w:bCs/>
                <w:sz w:val="24"/>
                <w:szCs w:val="24"/>
              </w:rPr>
            </w:pPr>
            <w:r>
              <w:rPr>
                <w:rFonts w:hint="eastAsia"/>
                <w:bCs/>
                <w:sz w:val="24"/>
                <w:szCs w:val="24"/>
              </w:rPr>
              <w:t>北京市结核病胸部肿瘤研究所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jc w:val="left"/>
              <w:rPr>
                <w:bCs/>
                <w:sz w:val="24"/>
                <w:szCs w:val="24"/>
              </w:rPr>
            </w:pPr>
            <w:r>
              <w:rPr>
                <w:rFonts w:hint="eastAsia"/>
                <w:bCs/>
                <w:sz w:val="24"/>
                <w:szCs w:val="24"/>
              </w:rPr>
              <w:t>联系人：</w:t>
            </w:r>
          </w:p>
        </w:tc>
        <w:tc>
          <w:tcPr>
            <w:tcW w:w="5616" w:type="dxa"/>
            <w:tcBorders>
              <w:top w:val="nil"/>
              <w:left w:val="nil"/>
              <w:bottom w:val="single" w:color="auto" w:sz="4" w:space="0"/>
              <w:right w:val="nil"/>
            </w:tcBorders>
            <w:vAlign w:val="center"/>
          </w:tcPr>
          <w:p>
            <w:pPr>
              <w:snapToGrid w:val="0"/>
              <w:spacing w:before="156" w:beforeLines="50"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rPr>
                <w:bCs/>
                <w:sz w:val="24"/>
                <w:szCs w:val="24"/>
              </w:rPr>
            </w:pPr>
            <w:r>
              <w:rPr>
                <w:sz w:val="24"/>
                <w:szCs w:val="24"/>
              </w:rPr>
              <w:t>地  址：</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jc w:val="center"/>
              <w:rPr>
                <w:bCs/>
                <w:sz w:val="24"/>
                <w:szCs w:val="24"/>
              </w:rPr>
            </w:pPr>
            <w:r>
              <w:rPr>
                <w:bCs/>
                <w:sz w:val="24"/>
                <w:szCs w:val="24"/>
              </w:rPr>
              <w:t>北京市通州区北关大街9号院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rPr>
                <w:sz w:val="24"/>
                <w:szCs w:val="24"/>
              </w:rPr>
            </w:pPr>
            <w:r>
              <w:rPr>
                <w:rFonts w:hint="eastAsia"/>
                <w:sz w:val="24"/>
                <w:szCs w:val="24"/>
              </w:rPr>
              <w:t>电  话：</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rPr>
                <w:sz w:val="24"/>
                <w:szCs w:val="24"/>
              </w:rPr>
            </w:pPr>
            <w:r>
              <w:rPr>
                <w:sz w:val="24"/>
                <w:szCs w:val="24"/>
              </w:rPr>
              <w:t>E-mail</w:t>
            </w:r>
            <w:r>
              <w:rPr>
                <w:sz w:val="24"/>
                <w:szCs w:val="24"/>
                <w:lang w:val="en-GB"/>
              </w:rPr>
              <w:t>：</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ind w:right="-107" w:rightChars="-51"/>
              <w:rPr>
                <w:b/>
                <w:sz w:val="24"/>
                <w:szCs w:val="24"/>
              </w:rPr>
            </w:pPr>
          </w:p>
          <w:p>
            <w:pPr>
              <w:snapToGrid w:val="0"/>
              <w:spacing w:before="156" w:beforeLines="50" w:line="360" w:lineRule="auto"/>
              <w:ind w:right="-107" w:rightChars="-51"/>
              <w:rPr>
                <w:b/>
                <w:sz w:val="24"/>
                <w:szCs w:val="24"/>
              </w:rPr>
            </w:pPr>
          </w:p>
        </w:tc>
        <w:tc>
          <w:tcPr>
            <w:tcW w:w="5616" w:type="dxa"/>
            <w:tcBorders>
              <w:top w:val="single" w:color="auto" w:sz="4" w:space="0"/>
              <w:left w:val="nil"/>
              <w:bottom w:val="nil"/>
              <w:right w:val="nil"/>
            </w:tcBorders>
            <w:vAlign w:val="center"/>
          </w:tcPr>
          <w:p>
            <w:pPr>
              <w:snapToGrid w:val="0"/>
              <w:spacing w:before="156" w:beforeLines="50" w:line="360" w:lineRule="auto"/>
              <w:jc w:val="center"/>
              <w:rPr>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ind w:right="-107" w:rightChars="-51"/>
              <w:rPr>
                <w:bCs/>
                <w:sz w:val="24"/>
                <w:szCs w:val="24"/>
              </w:rPr>
            </w:pPr>
            <w:r>
              <w:rPr>
                <w:bCs/>
                <w:sz w:val="24"/>
                <w:szCs w:val="24"/>
              </w:rPr>
              <w:t>乙  方：</w:t>
            </w:r>
          </w:p>
        </w:tc>
        <w:tc>
          <w:tcPr>
            <w:tcW w:w="5616" w:type="dxa"/>
            <w:tcBorders>
              <w:top w:val="nil"/>
              <w:left w:val="nil"/>
              <w:bottom w:val="single" w:color="auto" w:sz="4" w:space="0"/>
              <w:right w:val="nil"/>
            </w:tcBorders>
            <w:vAlign w:val="center"/>
          </w:tcPr>
          <w:p>
            <w:pPr>
              <w:snapToGrid w:val="0"/>
              <w:spacing w:before="156" w:beforeLines="50"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ind w:right="-107" w:rightChars="-51"/>
              <w:rPr>
                <w:bCs/>
                <w:sz w:val="24"/>
                <w:szCs w:val="24"/>
              </w:rPr>
            </w:pPr>
            <w:r>
              <w:rPr>
                <w:bCs/>
                <w:sz w:val="24"/>
                <w:szCs w:val="24"/>
              </w:rPr>
              <w:t>联系人：</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jc w:val="center"/>
              <w:rPr>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ind w:right="-107" w:rightChars="-51"/>
              <w:rPr>
                <w:sz w:val="24"/>
                <w:szCs w:val="24"/>
              </w:rPr>
            </w:pPr>
            <w:r>
              <w:rPr>
                <w:sz w:val="24"/>
                <w:szCs w:val="24"/>
              </w:rPr>
              <w:t>地  址：</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ind w:right="-107" w:rightChars="-51"/>
              <w:rPr>
                <w:sz w:val="24"/>
                <w:szCs w:val="24"/>
              </w:rPr>
            </w:pPr>
            <w:r>
              <w:rPr>
                <w:sz w:val="24"/>
                <w:szCs w:val="24"/>
              </w:rPr>
              <w:t>电  话：</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4" w:type="dxa"/>
            <w:tcBorders>
              <w:top w:val="nil"/>
              <w:left w:val="nil"/>
              <w:bottom w:val="nil"/>
              <w:right w:val="nil"/>
            </w:tcBorders>
            <w:vAlign w:val="center"/>
          </w:tcPr>
          <w:p>
            <w:pPr>
              <w:snapToGrid w:val="0"/>
              <w:spacing w:before="156" w:beforeLines="50" w:line="360" w:lineRule="auto"/>
              <w:ind w:right="-107" w:rightChars="-51"/>
              <w:rPr>
                <w:sz w:val="24"/>
                <w:szCs w:val="24"/>
              </w:rPr>
            </w:pPr>
            <w:r>
              <w:rPr>
                <w:sz w:val="24"/>
                <w:szCs w:val="24"/>
              </w:rPr>
              <w:t>E-mail</w:t>
            </w:r>
            <w:r>
              <w:rPr>
                <w:sz w:val="24"/>
                <w:szCs w:val="24"/>
                <w:lang w:val="en-GB"/>
              </w:rPr>
              <w:t>：</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ind w:right="-107" w:rightChars="-51"/>
              <w:rPr>
                <w:sz w:val="24"/>
                <w:szCs w:val="24"/>
              </w:rPr>
            </w:pPr>
            <w:r>
              <w:rPr>
                <w:sz w:val="24"/>
                <w:szCs w:val="24"/>
              </w:rPr>
              <w:t>开户行：</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nil"/>
              <w:bottom w:val="nil"/>
              <w:right w:val="nil"/>
            </w:tcBorders>
            <w:vAlign w:val="center"/>
          </w:tcPr>
          <w:p>
            <w:pPr>
              <w:snapToGrid w:val="0"/>
              <w:spacing w:before="156" w:beforeLines="50" w:line="360" w:lineRule="auto"/>
              <w:ind w:right="-107" w:rightChars="-51"/>
              <w:rPr>
                <w:sz w:val="24"/>
                <w:szCs w:val="24"/>
              </w:rPr>
            </w:pPr>
            <w:r>
              <w:rPr>
                <w:sz w:val="24"/>
                <w:szCs w:val="24"/>
              </w:rPr>
              <w:t>账  号：</w:t>
            </w:r>
          </w:p>
        </w:tc>
        <w:tc>
          <w:tcPr>
            <w:tcW w:w="5616" w:type="dxa"/>
            <w:tcBorders>
              <w:top w:val="single" w:color="auto" w:sz="4" w:space="0"/>
              <w:left w:val="nil"/>
              <w:bottom w:val="single" w:color="auto" w:sz="4" w:space="0"/>
              <w:right w:val="nil"/>
            </w:tcBorders>
            <w:vAlign w:val="center"/>
          </w:tcPr>
          <w:p>
            <w:pPr>
              <w:snapToGrid w:val="0"/>
              <w:spacing w:before="156" w:beforeLines="50" w:line="360" w:lineRule="auto"/>
              <w:ind w:firstLine="1440" w:firstLineChars="600"/>
              <w:rPr>
                <w:sz w:val="24"/>
                <w:szCs w:val="24"/>
              </w:rPr>
            </w:pPr>
          </w:p>
        </w:tc>
      </w:tr>
    </w:tbl>
    <w:p>
      <w:pPr>
        <w:spacing w:line="520" w:lineRule="exact"/>
        <w:ind w:right="-850" w:rightChars="-405" w:firstLine="570"/>
        <w:rPr>
          <w:sz w:val="24"/>
        </w:rPr>
      </w:pPr>
    </w:p>
    <w:p>
      <w:pPr>
        <w:spacing w:line="520" w:lineRule="exact"/>
        <w:ind w:right="-850" w:rightChars="-405" w:firstLine="570"/>
        <w:rPr>
          <w:sz w:val="24"/>
        </w:rPr>
      </w:pPr>
    </w:p>
    <w:p>
      <w:pPr>
        <w:spacing w:line="520" w:lineRule="exact"/>
        <w:ind w:right="-850" w:rightChars="-405" w:firstLine="570"/>
        <w:rPr>
          <w:sz w:val="24"/>
        </w:rPr>
      </w:pPr>
    </w:p>
    <w:p>
      <w:pPr>
        <w:spacing w:line="520" w:lineRule="exact"/>
        <w:ind w:right="-850" w:rightChars="-405"/>
        <w:rPr>
          <w:sz w:val="24"/>
        </w:rPr>
      </w:pPr>
    </w:p>
    <w:p>
      <w:pPr>
        <w:spacing w:line="520" w:lineRule="exact"/>
        <w:ind w:right="-850" w:rightChars="-405"/>
        <w:rPr>
          <w:sz w:val="24"/>
        </w:rPr>
      </w:pPr>
    </w:p>
    <w:p>
      <w:pPr>
        <w:spacing w:line="360" w:lineRule="exact"/>
        <w:rPr>
          <w:rFonts w:ascii="华文楷体" w:hAnsi="华文楷体" w:eastAsia="华文楷体"/>
        </w:rPr>
      </w:pPr>
    </w:p>
    <w:p>
      <w:pPr>
        <w:rPr>
          <w:rFonts w:ascii="仿宋" w:hAnsi="仿宋" w:cs="仿宋"/>
          <w:sz w:val="24"/>
          <w:szCs w:val="24"/>
        </w:rPr>
      </w:pPr>
      <w:r>
        <w:rPr>
          <w:rFonts w:hint="eastAsia" w:ascii="仿宋" w:hAnsi="仿宋" w:cs="仿宋"/>
          <w:sz w:val="24"/>
          <w:szCs w:val="24"/>
        </w:rPr>
        <w:br w:type="page"/>
      </w:r>
    </w:p>
    <w:p>
      <w:pPr>
        <w:spacing w:before="156" w:beforeLines="50" w:after="156" w:afterLines="50" w:line="360" w:lineRule="auto"/>
        <w:ind w:firstLine="480"/>
        <w:rPr>
          <w:rFonts w:ascii="仿宋" w:hAnsi="仿宋" w:cs="仿宋"/>
          <w:sz w:val="24"/>
          <w:szCs w:val="24"/>
        </w:rPr>
      </w:pPr>
      <w:r>
        <w:rPr>
          <w:rFonts w:hint="eastAsia" w:ascii="仿宋" w:hAnsi="仿宋" w:cs="仿宋"/>
          <w:sz w:val="24"/>
          <w:szCs w:val="24"/>
        </w:rPr>
        <w:t>甲乙双方经过平等协商，在真实、充分地表达各自意愿的基础上，根据《中华人民共和国民法典》等相关法律法规的规定，经协商一致，达成如下协议，并由双方共同恪守：</w:t>
      </w:r>
    </w:p>
    <w:p>
      <w:pPr>
        <w:spacing w:before="156" w:beforeLines="50" w:after="156" w:afterLines="50" w:line="360" w:lineRule="auto"/>
        <w:outlineLvl w:val="0"/>
        <w:rPr>
          <w:rFonts w:ascii="仿宋" w:hAnsi="仿宋" w:cs="仿宋"/>
          <w:b/>
          <w:sz w:val="24"/>
          <w:szCs w:val="24"/>
        </w:rPr>
      </w:pPr>
      <w:r>
        <w:rPr>
          <w:rFonts w:hint="eastAsia" w:ascii="仿宋" w:hAnsi="仿宋" w:cs="仿宋"/>
          <w:b/>
          <w:sz w:val="24"/>
          <w:szCs w:val="24"/>
        </w:rPr>
        <w:t>第一条 声明</w:t>
      </w:r>
    </w:p>
    <w:p>
      <w:pPr>
        <w:spacing w:before="156" w:beforeLines="50" w:after="156" w:afterLines="50" w:line="360" w:lineRule="auto"/>
        <w:rPr>
          <w:rFonts w:ascii="仿宋" w:hAnsi="仿宋" w:cs="仿宋"/>
          <w:sz w:val="24"/>
          <w:szCs w:val="24"/>
        </w:rPr>
      </w:pPr>
      <w:r>
        <w:rPr>
          <w:rFonts w:hint="eastAsia" w:ascii="仿宋" w:hAnsi="仿宋" w:cs="仿宋"/>
          <w:b/>
          <w:sz w:val="24"/>
          <w:szCs w:val="24"/>
        </w:rPr>
        <w:t xml:space="preserve">1.1 </w:t>
      </w:r>
      <w:r>
        <w:rPr>
          <w:rFonts w:hint="eastAsia" w:ascii="仿宋" w:hAnsi="仿宋" w:cs="仿宋"/>
          <w:sz w:val="24"/>
          <w:szCs w:val="24"/>
        </w:rPr>
        <w:t>除非本合同另有约定，本合同使用的下列术语应具有如下界定的含义：</w:t>
      </w:r>
    </w:p>
    <w:p>
      <w:pPr>
        <w:spacing w:before="156" w:beforeLines="50" w:after="156" w:afterLines="50" w:line="360" w:lineRule="auto"/>
        <w:rPr>
          <w:rFonts w:ascii="仿宋" w:hAnsi="仿宋" w:cs="仿宋"/>
          <w:sz w:val="24"/>
          <w:szCs w:val="24"/>
        </w:rPr>
      </w:pPr>
      <w:r>
        <w:rPr>
          <w:rFonts w:hint="eastAsia" w:ascii="仿宋" w:hAnsi="仿宋" w:cs="仿宋"/>
          <w:sz w:val="24"/>
          <w:szCs w:val="24"/>
        </w:rPr>
        <w:t xml:space="preserve">1.1.1 “合同”或“本合同”：指本合同正文和其附件，共同构成合同整体并相互补充； </w:t>
      </w:r>
    </w:p>
    <w:p>
      <w:pPr>
        <w:spacing w:before="156" w:beforeLines="50" w:after="156" w:afterLines="50" w:line="360" w:lineRule="auto"/>
        <w:rPr>
          <w:rFonts w:ascii="仿宋" w:hAnsi="仿宋" w:cs="仿宋"/>
          <w:sz w:val="24"/>
          <w:szCs w:val="24"/>
        </w:rPr>
      </w:pPr>
      <w:r>
        <w:rPr>
          <w:rFonts w:hint="eastAsia" w:ascii="仿宋" w:hAnsi="仿宋" w:cs="仿宋"/>
          <w:sz w:val="24"/>
          <w:szCs w:val="24"/>
        </w:rPr>
        <w:t>1.1.2 “项目信息采集单”;指甲方在提供样本的同时，需要准确填写《项目信息采集单》其中的相应合同信息、样品名称、样本类型、物种、数据库、组别名称、样本是否可用完及结题后处理方式等务必填写准确，备份样本应标注清楚。</w:t>
      </w:r>
    </w:p>
    <w:p>
      <w:pPr>
        <w:spacing w:before="156" w:beforeLines="50" w:after="156" w:afterLines="50" w:line="360" w:lineRule="auto"/>
        <w:rPr>
          <w:rFonts w:ascii="仿宋" w:hAnsi="仿宋" w:cs="仿宋"/>
          <w:sz w:val="24"/>
          <w:szCs w:val="24"/>
        </w:rPr>
      </w:pPr>
      <w:r>
        <w:rPr>
          <w:rFonts w:hint="eastAsia" w:ascii="仿宋" w:hAnsi="仿宋" w:cs="仿宋"/>
          <w:sz w:val="24"/>
          <w:szCs w:val="24"/>
        </w:rPr>
        <w:t>1.1.3 “技术障碍”：指在乙方现有条件下无法克服的技术问题，包括但不限于因合同约定的技术方法、技术路线、履行合同所使用的设备、仪器、软件等本身的缺陷或局限性、生物特性、生物个体差异性等导致的无法克服的技术问题。</w:t>
      </w:r>
    </w:p>
    <w:p>
      <w:pPr>
        <w:spacing w:before="156" w:beforeLines="50" w:after="156" w:afterLines="50" w:line="360" w:lineRule="auto"/>
        <w:outlineLvl w:val="0"/>
        <w:rPr>
          <w:rFonts w:ascii="仿宋" w:hAnsi="仿宋" w:cs="仿宋"/>
          <w:b/>
          <w:sz w:val="24"/>
          <w:szCs w:val="24"/>
        </w:rPr>
      </w:pPr>
      <w:r>
        <w:rPr>
          <w:rFonts w:hint="eastAsia" w:ascii="仿宋" w:hAnsi="仿宋" w:cs="仿宋"/>
          <w:b/>
          <w:sz w:val="24"/>
          <w:szCs w:val="24"/>
        </w:rPr>
        <w:t xml:space="preserve">第二条 </w:t>
      </w:r>
      <w:r>
        <w:rPr>
          <w:rFonts w:ascii="仿宋" w:hAnsi="仿宋" w:cs="仿宋"/>
          <w:b/>
          <w:sz w:val="24"/>
          <w:szCs w:val="24"/>
        </w:rPr>
        <w:t>甲方提供的实验设计和</w:t>
      </w:r>
      <w:r>
        <w:rPr>
          <w:rFonts w:hint="eastAsia" w:ascii="仿宋" w:hAnsi="仿宋" w:cs="仿宋"/>
          <w:b/>
          <w:sz w:val="24"/>
          <w:szCs w:val="24"/>
        </w:rPr>
        <w:t>乙方</w:t>
      </w:r>
      <w:r>
        <w:rPr>
          <w:rFonts w:ascii="仿宋" w:hAnsi="仿宋" w:cs="仿宋"/>
          <w:b/>
          <w:sz w:val="24"/>
          <w:szCs w:val="24"/>
        </w:rPr>
        <w:t>报价如下：</w:t>
      </w:r>
    </w:p>
    <w:p>
      <w:pPr>
        <w:spacing w:before="156" w:beforeLines="50" w:after="156" w:afterLines="50" w:line="360" w:lineRule="auto"/>
        <w:jc w:val="left"/>
        <w:rPr>
          <w:rFonts w:ascii="仿宋" w:hAnsi="仿宋" w:cs="仿宋"/>
          <w:b/>
          <w:sz w:val="24"/>
          <w:szCs w:val="24"/>
        </w:rPr>
      </w:pPr>
      <w:r>
        <w:rPr>
          <w:rFonts w:hint="eastAsia" w:ascii="仿宋" w:hAnsi="仿宋" w:cs="仿宋"/>
          <w:b/>
          <w:sz w:val="24"/>
          <w:szCs w:val="24"/>
        </w:rPr>
        <w:t xml:space="preserve">2.1 </w:t>
      </w:r>
      <w:r>
        <w:rPr>
          <w:b/>
          <w:bCs/>
          <w:sz w:val="24"/>
          <w:szCs w:val="24"/>
        </w:rPr>
        <w:t>实验设计</w:t>
      </w:r>
      <w:r>
        <w:rPr>
          <w:rFonts w:hint="eastAsia" w:ascii="仿宋" w:hAnsi="仿宋" w:cs="仿宋"/>
          <w:b/>
          <w:sz w:val="24"/>
          <w:szCs w:val="24"/>
        </w:rPr>
        <w:t>：</w:t>
      </w:r>
    </w:p>
    <w:p>
      <w:pPr>
        <w:spacing w:before="156" w:beforeLines="50" w:after="156" w:afterLines="50" w:line="360" w:lineRule="auto"/>
        <w:jc w:val="left"/>
        <w:rPr>
          <w:rFonts w:ascii="仿宋" w:hAnsi="仿宋" w:cs="仿宋"/>
          <w:b/>
          <w:sz w:val="24"/>
          <w:szCs w:val="24"/>
        </w:rPr>
      </w:pPr>
      <w:r>
        <w:rPr>
          <w:rFonts w:hint="eastAsia" w:ascii="仿宋" w:hAnsi="仿宋" w:cs="仿宋"/>
          <w:b/>
          <w:sz w:val="24"/>
          <w:szCs w:val="24"/>
        </w:rPr>
        <w:t>具体实验方案详见：项目信息分析采样单。</w:t>
      </w:r>
    </w:p>
    <w:p>
      <w:pPr>
        <w:spacing w:before="156" w:beforeLines="50" w:after="156" w:afterLines="50" w:line="360" w:lineRule="auto"/>
        <w:rPr>
          <w:rFonts w:ascii="仿宋" w:hAnsi="仿宋" w:cs="仿宋"/>
          <w:b/>
          <w:sz w:val="24"/>
          <w:szCs w:val="24"/>
        </w:rPr>
      </w:pPr>
      <w:r>
        <w:rPr>
          <w:rFonts w:hint="eastAsia" w:ascii="仿宋" w:hAnsi="仿宋" w:cs="仿宋"/>
          <w:b/>
          <w:sz w:val="24"/>
          <w:szCs w:val="24"/>
        </w:rPr>
        <w:t>2.2 费用明细：</w:t>
      </w:r>
    </w:p>
    <w:tbl>
      <w:tblPr>
        <w:tblStyle w:val="6"/>
        <w:tblpPr w:leftFromText="180" w:rightFromText="180" w:vertAnchor="text" w:horzAnchor="page" w:tblpXSpec="center" w:tblpY="6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712"/>
        <w:gridCol w:w="1567"/>
        <w:gridCol w:w="2214"/>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pct"/>
            <w:vAlign w:val="center"/>
          </w:tcPr>
          <w:p>
            <w:pPr>
              <w:spacing w:before="156" w:beforeLines="50" w:after="156" w:afterLines="50" w:line="360" w:lineRule="auto"/>
              <w:jc w:val="center"/>
              <w:rPr>
                <w:rFonts w:ascii="仿宋" w:hAnsi="仿宋" w:cs="仿宋"/>
                <w:sz w:val="24"/>
                <w:szCs w:val="24"/>
              </w:rPr>
            </w:pPr>
            <w:r>
              <w:rPr>
                <w:rFonts w:hint="eastAsia" w:ascii="仿宋" w:hAnsi="仿宋" w:cs="仿宋"/>
                <w:sz w:val="24"/>
                <w:szCs w:val="24"/>
              </w:rPr>
              <w:t>项目类型</w:t>
            </w:r>
          </w:p>
        </w:tc>
        <w:tc>
          <w:tcPr>
            <w:tcW w:w="945" w:type="pct"/>
            <w:vAlign w:val="center"/>
          </w:tcPr>
          <w:p>
            <w:pPr>
              <w:spacing w:before="156" w:beforeLines="50" w:after="156" w:afterLines="50" w:line="360" w:lineRule="auto"/>
              <w:jc w:val="center"/>
              <w:rPr>
                <w:rFonts w:ascii="仿宋" w:hAnsi="仿宋" w:cs="仿宋"/>
                <w:sz w:val="24"/>
                <w:szCs w:val="24"/>
              </w:rPr>
            </w:pPr>
            <w:r>
              <w:rPr>
                <w:rFonts w:hint="eastAsia" w:ascii="仿宋" w:hAnsi="仿宋" w:cs="仿宋"/>
                <w:sz w:val="24"/>
                <w:szCs w:val="24"/>
              </w:rPr>
              <w:t>单价（元）</w:t>
            </w:r>
          </w:p>
        </w:tc>
        <w:tc>
          <w:tcPr>
            <w:tcW w:w="865" w:type="pct"/>
            <w:vAlign w:val="center"/>
          </w:tcPr>
          <w:p>
            <w:pPr>
              <w:spacing w:before="156" w:beforeLines="50" w:after="156" w:afterLines="50" w:line="360" w:lineRule="auto"/>
              <w:jc w:val="center"/>
              <w:rPr>
                <w:rFonts w:ascii="仿宋" w:hAnsi="仿宋" w:cs="仿宋"/>
                <w:sz w:val="24"/>
                <w:szCs w:val="24"/>
              </w:rPr>
            </w:pPr>
            <w:r>
              <w:rPr>
                <w:rFonts w:hint="eastAsia" w:ascii="仿宋" w:hAnsi="仿宋" w:cs="仿宋"/>
                <w:sz w:val="24"/>
                <w:szCs w:val="24"/>
              </w:rPr>
              <w:t>数量</w:t>
            </w:r>
          </w:p>
        </w:tc>
        <w:tc>
          <w:tcPr>
            <w:tcW w:w="1222" w:type="pct"/>
            <w:vAlign w:val="center"/>
          </w:tcPr>
          <w:p>
            <w:pPr>
              <w:spacing w:before="156" w:beforeLines="50" w:after="156" w:afterLines="50" w:line="360" w:lineRule="auto"/>
              <w:jc w:val="center"/>
              <w:rPr>
                <w:rFonts w:ascii="仿宋" w:hAnsi="仿宋" w:cs="仿宋"/>
                <w:sz w:val="24"/>
                <w:szCs w:val="24"/>
              </w:rPr>
            </w:pPr>
            <w:r>
              <w:rPr>
                <w:rFonts w:hint="eastAsia" w:ascii="仿宋" w:hAnsi="仿宋" w:cs="仿宋"/>
                <w:sz w:val="24"/>
                <w:szCs w:val="24"/>
              </w:rPr>
              <w:t>周期（工作日）</w:t>
            </w:r>
          </w:p>
        </w:tc>
        <w:tc>
          <w:tcPr>
            <w:tcW w:w="1075" w:type="pct"/>
            <w:vAlign w:val="center"/>
          </w:tcPr>
          <w:p>
            <w:pPr>
              <w:spacing w:before="156" w:beforeLines="50" w:after="156" w:afterLines="50" w:line="360" w:lineRule="auto"/>
              <w:jc w:val="center"/>
              <w:rPr>
                <w:rFonts w:ascii="仿宋" w:hAnsi="仿宋" w:cs="仿宋"/>
                <w:sz w:val="24"/>
                <w:szCs w:val="24"/>
              </w:rPr>
            </w:pPr>
            <w:r>
              <w:rPr>
                <w:rFonts w:hint="eastAsia" w:ascii="仿宋" w:hAnsi="仿宋" w:cs="仿宋"/>
                <w:sz w:val="24"/>
                <w:szCs w:val="24"/>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pct"/>
            <w:vAlign w:val="center"/>
          </w:tcPr>
          <w:p>
            <w:pPr>
              <w:spacing w:before="156" w:beforeLines="50" w:after="156" w:afterLines="50" w:line="360" w:lineRule="auto"/>
              <w:jc w:val="center"/>
              <w:rPr>
                <w:rFonts w:ascii="仿宋" w:hAnsi="仿宋" w:cs="仿宋"/>
                <w:sz w:val="24"/>
                <w:szCs w:val="24"/>
              </w:rPr>
            </w:pPr>
          </w:p>
        </w:tc>
        <w:tc>
          <w:tcPr>
            <w:tcW w:w="945" w:type="pct"/>
            <w:vAlign w:val="center"/>
          </w:tcPr>
          <w:p>
            <w:pPr>
              <w:spacing w:before="156" w:beforeLines="50" w:after="156" w:afterLines="50" w:line="360" w:lineRule="auto"/>
              <w:jc w:val="center"/>
              <w:rPr>
                <w:rFonts w:ascii="仿宋" w:hAnsi="仿宋" w:cs="仿宋"/>
                <w:sz w:val="24"/>
                <w:szCs w:val="24"/>
              </w:rPr>
            </w:pPr>
          </w:p>
        </w:tc>
        <w:tc>
          <w:tcPr>
            <w:tcW w:w="865" w:type="pct"/>
            <w:vAlign w:val="center"/>
          </w:tcPr>
          <w:p>
            <w:pPr>
              <w:spacing w:before="156" w:beforeLines="50" w:after="156" w:afterLines="50" w:line="360" w:lineRule="auto"/>
              <w:jc w:val="center"/>
              <w:rPr>
                <w:rFonts w:ascii="仿宋" w:hAnsi="仿宋" w:cs="仿宋"/>
                <w:sz w:val="24"/>
                <w:szCs w:val="24"/>
              </w:rPr>
            </w:pPr>
          </w:p>
        </w:tc>
        <w:tc>
          <w:tcPr>
            <w:tcW w:w="1222" w:type="pct"/>
            <w:vAlign w:val="center"/>
          </w:tcPr>
          <w:p>
            <w:pPr>
              <w:spacing w:before="156" w:beforeLines="50" w:after="156" w:afterLines="50" w:line="360" w:lineRule="auto"/>
              <w:jc w:val="center"/>
              <w:rPr>
                <w:rFonts w:ascii="仿宋" w:hAnsi="仿宋" w:cs="仿宋"/>
                <w:sz w:val="24"/>
                <w:szCs w:val="24"/>
              </w:rPr>
            </w:pPr>
          </w:p>
        </w:tc>
        <w:tc>
          <w:tcPr>
            <w:tcW w:w="1075" w:type="pct"/>
            <w:vAlign w:val="center"/>
          </w:tcPr>
          <w:p>
            <w:pPr>
              <w:spacing w:before="156" w:beforeLines="50" w:after="156" w:afterLines="50" w:line="360" w:lineRule="auto"/>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vAlign w:val="center"/>
          </w:tcPr>
          <w:p>
            <w:pPr>
              <w:spacing w:before="156" w:beforeLines="50" w:after="156" w:afterLines="50" w:line="360" w:lineRule="auto"/>
              <w:jc w:val="center"/>
              <w:rPr>
                <w:rFonts w:ascii="仿宋" w:hAnsi="仿宋" w:cs="仿宋"/>
                <w:b/>
                <w:bCs/>
                <w:sz w:val="24"/>
                <w:szCs w:val="24"/>
              </w:rPr>
            </w:pPr>
            <w:r>
              <w:rPr>
                <w:rFonts w:hint="eastAsia" w:ascii="仿宋" w:hAnsi="仿宋" w:cs="仿宋"/>
                <w:b/>
                <w:bCs/>
                <w:sz w:val="24"/>
                <w:szCs w:val="24"/>
              </w:rPr>
              <w:t>备注：</w:t>
            </w:r>
            <w:r>
              <w:rPr>
                <w:rFonts w:ascii="仿宋" w:hAnsi="仿宋" w:cs="仿宋"/>
                <w:b/>
                <w:bCs/>
                <w:sz w:val="24"/>
                <w:szCs w:val="24"/>
              </w:rPr>
              <w:t xml:space="preserve"> </w:t>
            </w:r>
          </w:p>
        </w:tc>
      </w:tr>
    </w:tbl>
    <w:p>
      <w:pPr>
        <w:spacing w:before="156" w:beforeLines="50" w:after="156" w:afterLines="50" w:line="360" w:lineRule="auto"/>
        <w:rPr>
          <w:rFonts w:ascii="仿宋" w:hAnsi="仿宋" w:cs="仿宋"/>
          <w:sz w:val="24"/>
          <w:szCs w:val="24"/>
        </w:rPr>
      </w:pPr>
    </w:p>
    <w:p>
      <w:pPr>
        <w:spacing w:before="156" w:beforeLines="50" w:after="156" w:afterLines="50" w:line="360" w:lineRule="auto"/>
        <w:rPr>
          <w:rFonts w:ascii="仿宋" w:hAnsi="仿宋" w:cs="仿宋"/>
          <w:sz w:val="24"/>
          <w:szCs w:val="24"/>
          <w:highlight w:val="yellow"/>
        </w:rPr>
      </w:pPr>
      <w:r>
        <w:rPr>
          <w:rFonts w:hint="eastAsia" w:ascii="仿宋" w:hAnsi="仿宋" w:cs="仿宋"/>
          <w:sz w:val="24"/>
          <w:szCs w:val="24"/>
        </w:rPr>
        <w:t>技术服务费总额：</w:t>
      </w:r>
      <w:bookmarkStart w:id="0" w:name="MONEY_TOTLE"/>
      <w:bookmarkEnd w:id="0"/>
      <w:r>
        <w:rPr>
          <w:rFonts w:hint="eastAsia" w:ascii="仿宋" w:hAnsi="仿宋" w:cs="仿宋"/>
          <w:sz w:val="24"/>
          <w:szCs w:val="24"/>
        </w:rPr>
        <w:t>人民币（￥）</w:t>
      </w:r>
    </w:p>
    <w:p>
      <w:pPr>
        <w:spacing w:before="156" w:beforeLines="50" w:after="156" w:afterLines="50" w:line="360" w:lineRule="auto"/>
        <w:rPr>
          <w:rFonts w:ascii="仿宋" w:hAnsi="仿宋" w:cs="仿宋"/>
          <w:b/>
          <w:sz w:val="24"/>
          <w:szCs w:val="24"/>
        </w:rPr>
      </w:pPr>
      <w:r>
        <w:rPr>
          <w:rFonts w:hint="eastAsia" w:ascii="仿宋" w:hAnsi="仿宋" w:cs="仿宋"/>
          <w:b/>
          <w:sz w:val="24"/>
          <w:szCs w:val="24"/>
        </w:rPr>
        <w:t>2.</w:t>
      </w:r>
      <w:r>
        <w:rPr>
          <w:rFonts w:ascii="仿宋" w:hAnsi="仿宋" w:cs="仿宋"/>
          <w:b/>
          <w:sz w:val="24"/>
          <w:szCs w:val="24"/>
        </w:rPr>
        <w:t>2</w:t>
      </w:r>
      <w:r>
        <w:rPr>
          <w:rFonts w:hint="eastAsia" w:ascii="仿宋" w:hAnsi="仿宋" w:cs="仿宋"/>
          <w:b/>
          <w:sz w:val="24"/>
          <w:szCs w:val="24"/>
        </w:rPr>
        <w:t xml:space="preserve"> 周期说明：</w:t>
      </w:r>
    </w:p>
    <w:p>
      <w:pPr>
        <w:spacing w:before="156" w:beforeLines="50" w:after="156" w:afterLines="50" w:line="360" w:lineRule="auto"/>
        <w:ind w:firstLine="480" w:firstLineChars="200"/>
        <w:rPr>
          <w:rFonts w:ascii="仿宋" w:hAnsi="仿宋" w:cs="仿宋"/>
          <w:kern w:val="0"/>
          <w:sz w:val="24"/>
          <w:szCs w:val="24"/>
          <w:lang w:bidi="ar"/>
        </w:rPr>
      </w:pPr>
      <w:r>
        <w:rPr>
          <w:rFonts w:hint="eastAsia" w:ascii="仿宋" w:hAnsi="仿宋" w:cs="仿宋"/>
          <w:sz w:val="24"/>
          <w:szCs w:val="24"/>
        </w:rPr>
        <w:t>项目交付周期计算方式：</w:t>
      </w:r>
      <w:bookmarkStart w:id="1" w:name="OLE_LINK13"/>
      <w:bookmarkStart w:id="2" w:name="OLE_LINK14"/>
      <w:r>
        <w:rPr>
          <w:rFonts w:hint="eastAsia" w:ascii="仿宋" w:hAnsi="仿宋" w:cs="仿宋"/>
          <w:sz w:val="24"/>
          <w:szCs w:val="24"/>
        </w:rPr>
        <w:t>样本质检合格且收到甲方回复（可以继续进行实验）的邮件次日起到乙方向甲方提供标准分析结题报告的周期。</w:t>
      </w:r>
      <w:bookmarkEnd w:id="1"/>
      <w:bookmarkEnd w:id="2"/>
      <w:r>
        <w:rPr>
          <w:rFonts w:hint="eastAsia" w:ascii="仿宋" w:hAnsi="仿宋" w:cs="仿宋"/>
          <w:kern w:val="0"/>
          <w:sz w:val="24"/>
          <w:szCs w:val="24"/>
          <w:lang w:bidi="ar"/>
        </w:rPr>
        <w:t>以上周期均为工作日进行国家法定节假日不计入内。</w:t>
      </w:r>
    </w:p>
    <w:p>
      <w:pPr>
        <w:spacing w:before="156" w:beforeLines="50" w:after="156" w:afterLines="50" w:line="360" w:lineRule="auto"/>
        <w:ind w:firstLine="480" w:firstLineChars="200"/>
        <w:rPr>
          <w:rFonts w:ascii="仿宋" w:hAnsi="仿宋" w:cs="仿宋"/>
          <w:sz w:val="24"/>
          <w:szCs w:val="24"/>
        </w:rPr>
      </w:pPr>
      <w:r>
        <w:rPr>
          <w:rFonts w:hint="eastAsia" w:ascii="仿宋" w:hAnsi="仿宋" w:cs="仿宋"/>
          <w:sz w:val="24"/>
          <w:szCs w:val="24"/>
        </w:rPr>
        <w:t>非标准分析周期需根据分析内容确定，此时间不计入项目周期。若在质谱检测或数据处理中遇到技术障碍，乙方应与甲方及时沟通，双方沟通时间及处理障碍的时间从周期中扣除。</w:t>
      </w:r>
    </w:p>
    <w:p>
      <w:pPr>
        <w:spacing w:before="156" w:beforeLines="50" w:after="156" w:afterLines="50" w:line="360" w:lineRule="auto"/>
        <w:rPr>
          <w:rFonts w:ascii="仿宋" w:hAnsi="仿宋" w:cs="仿宋"/>
          <w:b/>
          <w:sz w:val="24"/>
          <w:szCs w:val="24"/>
        </w:rPr>
      </w:pPr>
      <w:r>
        <w:rPr>
          <w:rFonts w:hint="eastAsia" w:ascii="仿宋" w:hAnsi="仿宋" w:cs="仿宋"/>
          <w:b/>
          <w:sz w:val="24"/>
          <w:szCs w:val="24"/>
        </w:rPr>
        <w:t>2.</w:t>
      </w:r>
      <w:r>
        <w:rPr>
          <w:rFonts w:ascii="仿宋" w:hAnsi="仿宋" w:cs="仿宋"/>
          <w:b/>
          <w:sz w:val="24"/>
          <w:szCs w:val="24"/>
        </w:rPr>
        <w:t>3</w:t>
      </w:r>
      <w:r>
        <w:rPr>
          <w:rFonts w:hint="eastAsia" w:ascii="仿宋" w:hAnsi="仿宋" w:cs="仿宋"/>
          <w:b/>
          <w:sz w:val="24"/>
          <w:szCs w:val="24"/>
        </w:rPr>
        <w:t>关于收费标准的说明：</w:t>
      </w:r>
    </w:p>
    <w:p>
      <w:pPr>
        <w:spacing w:before="156" w:beforeLines="50" w:after="156" w:afterLines="50" w:line="360" w:lineRule="auto"/>
        <w:rPr>
          <w:rFonts w:ascii="仿宋" w:hAnsi="仿宋" w:cs="仿宋"/>
          <w:sz w:val="24"/>
          <w:szCs w:val="24"/>
        </w:rPr>
      </w:pPr>
      <w:r>
        <w:rPr>
          <w:rFonts w:hint="eastAsia" w:ascii="仿宋" w:hAnsi="仿宋" w:cs="仿宋"/>
          <w:sz w:val="24"/>
          <w:szCs w:val="24"/>
        </w:rPr>
        <w:t>2.</w:t>
      </w:r>
      <w:r>
        <w:rPr>
          <w:rFonts w:ascii="仿宋" w:hAnsi="仿宋" w:cs="仿宋"/>
          <w:sz w:val="24"/>
          <w:szCs w:val="24"/>
        </w:rPr>
        <w:t>3</w:t>
      </w:r>
      <w:r>
        <w:rPr>
          <w:rFonts w:hint="eastAsia" w:ascii="仿宋" w:hAnsi="仿宋" w:cs="仿宋"/>
          <w:sz w:val="24"/>
          <w:szCs w:val="24"/>
        </w:rPr>
        <w:t>.1 关于样本提取检测：常规样本对于第一次提取不合格的，还可免费再提取一次，提取合格的样本不再进行提取，超出免费提取的部分甲方应额外支付*</w:t>
      </w:r>
      <w:r>
        <w:rPr>
          <w:rFonts w:ascii="仿宋" w:hAnsi="仿宋" w:cs="仿宋"/>
          <w:sz w:val="24"/>
          <w:szCs w:val="24"/>
        </w:rPr>
        <w:t>*</w:t>
      </w:r>
      <w:r>
        <w:rPr>
          <w:rFonts w:hint="eastAsia" w:ascii="仿宋" w:hAnsi="仿宋" w:cs="仿宋"/>
          <w:sz w:val="24"/>
          <w:szCs w:val="24"/>
        </w:rPr>
        <w:t>元/样本/次的提取费用；样本提取检测合格后，如因甲方原因中止合格样本后续实验，甲方应按*</w:t>
      </w:r>
      <w:r>
        <w:rPr>
          <w:rFonts w:ascii="仿宋" w:hAnsi="仿宋" w:cs="仿宋"/>
          <w:sz w:val="24"/>
          <w:szCs w:val="24"/>
        </w:rPr>
        <w:t>*</w:t>
      </w:r>
      <w:r>
        <w:rPr>
          <w:rFonts w:hint="eastAsia" w:ascii="仿宋" w:hAnsi="仿宋" w:cs="仿宋"/>
          <w:sz w:val="24"/>
          <w:szCs w:val="24"/>
        </w:rPr>
        <w:t>元/样本/次额外支付样本提取费用。</w:t>
      </w:r>
    </w:p>
    <w:p>
      <w:pPr>
        <w:spacing w:before="156" w:beforeLines="50" w:after="156" w:afterLines="50" w:line="360" w:lineRule="auto"/>
        <w:rPr>
          <w:rFonts w:ascii="仿宋" w:hAnsi="仿宋" w:cs="仿宋"/>
          <w:color w:val="000000"/>
          <w:sz w:val="24"/>
          <w:szCs w:val="24"/>
        </w:rPr>
      </w:pPr>
      <w:r>
        <w:rPr>
          <w:rFonts w:hint="eastAsia" w:ascii="仿宋" w:hAnsi="仿宋" w:cs="仿宋"/>
          <w:sz w:val="24"/>
          <w:szCs w:val="24"/>
        </w:rPr>
        <w:t>2.</w:t>
      </w:r>
      <w:r>
        <w:rPr>
          <w:rFonts w:ascii="仿宋" w:hAnsi="仿宋" w:cs="仿宋"/>
          <w:sz w:val="24"/>
          <w:szCs w:val="24"/>
        </w:rPr>
        <w:t>3</w:t>
      </w:r>
      <w:r>
        <w:rPr>
          <w:rFonts w:hint="eastAsia" w:ascii="仿宋" w:hAnsi="仿宋" w:cs="仿宋"/>
          <w:sz w:val="24"/>
          <w:szCs w:val="24"/>
        </w:rPr>
        <w:t xml:space="preserve">.2 </w:t>
      </w:r>
      <w:r>
        <w:rPr>
          <w:rFonts w:hint="eastAsia" w:ascii="仿宋" w:hAnsi="仿宋" w:cs="仿宋"/>
          <w:color w:val="000000"/>
          <w:sz w:val="24"/>
          <w:szCs w:val="24"/>
        </w:rPr>
        <w:t>乙方免费提供一种数据库搜索（数据库由甲方提供或指定），如因甲方更换参考蛋白序列库，导致需要重新搜索其他数据库，甲方应按</w:t>
      </w:r>
      <w:r>
        <w:rPr>
          <w:rFonts w:hint="eastAsia" w:ascii="仿宋" w:hAnsi="仿宋" w:cs="仿宋"/>
          <w:sz w:val="24"/>
          <w:szCs w:val="24"/>
        </w:rPr>
        <w:t>*</w:t>
      </w:r>
      <w:r>
        <w:rPr>
          <w:rFonts w:ascii="仿宋" w:hAnsi="仿宋" w:cs="仿宋"/>
          <w:sz w:val="24"/>
          <w:szCs w:val="24"/>
        </w:rPr>
        <w:t>*</w:t>
      </w:r>
      <w:r>
        <w:rPr>
          <w:rFonts w:hint="eastAsia" w:ascii="仿宋" w:hAnsi="仿宋" w:cs="仿宋"/>
          <w:color w:val="000000"/>
          <w:sz w:val="24"/>
          <w:szCs w:val="24"/>
        </w:rPr>
        <w:t>元/raw 额外支付数据库检索费用。</w:t>
      </w:r>
    </w:p>
    <w:p>
      <w:pPr>
        <w:spacing w:before="156" w:beforeLines="50" w:after="156" w:afterLines="50" w:line="360" w:lineRule="auto"/>
        <w:rPr>
          <w:rFonts w:ascii="仿宋" w:hAnsi="仿宋" w:cs="仿宋"/>
          <w:sz w:val="24"/>
          <w:szCs w:val="24"/>
        </w:rPr>
      </w:pPr>
      <w:r>
        <w:rPr>
          <w:rFonts w:hint="eastAsia" w:ascii="仿宋" w:hAnsi="仿宋" w:cs="仿宋"/>
          <w:sz w:val="24"/>
          <w:szCs w:val="24"/>
        </w:rPr>
        <w:t>2.</w:t>
      </w:r>
      <w:r>
        <w:rPr>
          <w:rFonts w:ascii="仿宋" w:hAnsi="仿宋" w:cs="仿宋"/>
          <w:sz w:val="24"/>
          <w:szCs w:val="24"/>
        </w:rPr>
        <w:t>3</w:t>
      </w:r>
      <w:r>
        <w:rPr>
          <w:rFonts w:hint="eastAsia" w:ascii="仿宋" w:hAnsi="仿宋" w:cs="仿宋"/>
          <w:sz w:val="24"/>
          <w:szCs w:val="24"/>
        </w:rPr>
        <w:t>.3 针对特定肽段，可免费提取*</w:t>
      </w:r>
      <w:r>
        <w:rPr>
          <w:rFonts w:ascii="仿宋" w:hAnsi="仿宋" w:cs="仿宋"/>
          <w:sz w:val="24"/>
          <w:szCs w:val="24"/>
        </w:rPr>
        <w:t>*</w:t>
      </w:r>
      <w:r>
        <w:rPr>
          <w:rFonts w:hint="eastAsia" w:ascii="仿宋" w:hAnsi="仿宋" w:cs="仿宋"/>
          <w:sz w:val="24"/>
          <w:szCs w:val="24"/>
        </w:rPr>
        <w:t>个，超过*</w:t>
      </w:r>
      <w:r>
        <w:rPr>
          <w:rFonts w:ascii="仿宋" w:hAnsi="仿宋" w:cs="仿宋"/>
          <w:sz w:val="24"/>
          <w:szCs w:val="24"/>
        </w:rPr>
        <w:t>*</w:t>
      </w:r>
      <w:r>
        <w:rPr>
          <w:rFonts w:hint="eastAsia" w:ascii="仿宋" w:hAnsi="仿宋" w:cs="仿宋"/>
          <w:sz w:val="24"/>
          <w:szCs w:val="24"/>
        </w:rPr>
        <w:t>个开始收费（￥*</w:t>
      </w:r>
      <w:r>
        <w:rPr>
          <w:rFonts w:ascii="仿宋" w:hAnsi="仿宋" w:cs="仿宋"/>
          <w:sz w:val="24"/>
          <w:szCs w:val="24"/>
        </w:rPr>
        <w:t>*</w:t>
      </w:r>
      <w:r>
        <w:rPr>
          <w:rFonts w:hint="eastAsia" w:ascii="仿宋" w:hAnsi="仿宋" w:cs="仿宋"/>
          <w:sz w:val="24"/>
          <w:szCs w:val="24"/>
        </w:rPr>
        <w:t>/图）。</w:t>
      </w:r>
    </w:p>
    <w:p>
      <w:pPr>
        <w:spacing w:before="156" w:beforeLines="50" w:after="156" w:afterLines="50" w:line="360" w:lineRule="auto"/>
        <w:rPr>
          <w:rFonts w:ascii="仿宋" w:hAnsi="仿宋" w:cs="仿宋"/>
          <w:sz w:val="24"/>
          <w:szCs w:val="24"/>
        </w:rPr>
      </w:pPr>
      <w:r>
        <w:rPr>
          <w:rFonts w:hint="eastAsia" w:ascii="仿宋" w:hAnsi="仿宋" w:cs="仿宋"/>
          <w:sz w:val="24"/>
          <w:szCs w:val="24"/>
        </w:rPr>
        <w:t>2.</w:t>
      </w:r>
      <w:r>
        <w:rPr>
          <w:rFonts w:ascii="仿宋" w:hAnsi="仿宋" w:cs="仿宋"/>
          <w:sz w:val="24"/>
          <w:szCs w:val="24"/>
        </w:rPr>
        <w:t>3</w:t>
      </w:r>
      <w:r>
        <w:rPr>
          <w:rFonts w:hint="eastAsia" w:ascii="仿宋" w:hAnsi="仿宋" w:cs="仿宋"/>
          <w:sz w:val="24"/>
          <w:szCs w:val="24"/>
        </w:rPr>
        <w:t>.4 定制化分析内容的探讨及确定：请甲方在项目启动前5日内或全部标准分析完成后一次性书面提出，由乙方后台人员评估后给出所需费用及项目周期。</w:t>
      </w:r>
    </w:p>
    <w:p>
      <w:pPr>
        <w:spacing w:before="156" w:beforeLines="50" w:after="156" w:afterLines="50" w:line="360" w:lineRule="auto"/>
        <w:rPr>
          <w:rFonts w:ascii="仿宋" w:hAnsi="仿宋" w:cs="仿宋"/>
          <w:sz w:val="24"/>
          <w:szCs w:val="24"/>
        </w:rPr>
      </w:pPr>
      <w:r>
        <w:rPr>
          <w:rFonts w:hint="eastAsia" w:ascii="仿宋" w:hAnsi="仿宋" w:cs="仿宋"/>
          <w:sz w:val="24"/>
          <w:szCs w:val="24"/>
        </w:rPr>
        <w:t>2.</w:t>
      </w:r>
      <w:r>
        <w:rPr>
          <w:rFonts w:ascii="仿宋" w:hAnsi="仿宋" w:cs="仿宋"/>
          <w:sz w:val="24"/>
          <w:szCs w:val="24"/>
        </w:rPr>
        <w:t>3</w:t>
      </w:r>
      <w:r>
        <w:rPr>
          <w:rFonts w:hint="eastAsia" w:ascii="仿宋" w:hAnsi="仿宋" w:cs="仿宋"/>
          <w:sz w:val="24"/>
          <w:szCs w:val="24"/>
        </w:rPr>
        <w:t>.5 关于样本处理：甲方需在乙方提交结题报告后3个月内向乙方提出书面申请告知项目完成后的样本处理方式（返样、销毁），若需保存样本，收费标准为人民币壹仟元整（￥*</w:t>
      </w:r>
      <w:r>
        <w:rPr>
          <w:rFonts w:ascii="仿宋" w:hAnsi="仿宋" w:cs="仿宋"/>
          <w:sz w:val="24"/>
          <w:szCs w:val="24"/>
        </w:rPr>
        <w:t>*</w:t>
      </w:r>
      <w:r>
        <w:rPr>
          <w:rFonts w:hint="eastAsia" w:ascii="仿宋" w:hAnsi="仿宋" w:cs="仿宋"/>
          <w:sz w:val="24"/>
          <w:szCs w:val="24"/>
        </w:rPr>
        <w:t>）／样本／年。超过3个月后，乙方将销毁项目剩余样本，乙方对此不承担任何责任。若需返样，则需与乙方另行签订补充协议，并需额外支付返样费用。返样费用标准： *</w:t>
      </w:r>
      <w:r>
        <w:rPr>
          <w:rFonts w:ascii="仿宋" w:hAnsi="仿宋" w:cs="仿宋"/>
          <w:sz w:val="24"/>
          <w:szCs w:val="24"/>
        </w:rPr>
        <w:t>*</w:t>
      </w:r>
      <w:r>
        <w:rPr>
          <w:rFonts w:hint="eastAsia" w:ascii="仿宋" w:hAnsi="仿宋" w:cs="仿宋"/>
          <w:sz w:val="24"/>
          <w:szCs w:val="24"/>
        </w:rPr>
        <w:t>元/次</w:t>
      </w:r>
    </w:p>
    <w:p>
      <w:pPr>
        <w:spacing w:before="156" w:beforeLines="50" w:after="156" w:afterLines="50" w:line="360" w:lineRule="auto"/>
        <w:outlineLvl w:val="0"/>
        <w:rPr>
          <w:rFonts w:ascii="仿宋" w:hAnsi="仿宋" w:cs="仿宋"/>
          <w:b/>
          <w:sz w:val="24"/>
          <w:szCs w:val="24"/>
        </w:rPr>
      </w:pPr>
      <w:r>
        <w:rPr>
          <w:rFonts w:hint="eastAsia" w:ascii="仿宋" w:hAnsi="仿宋" w:cs="仿宋"/>
          <w:b/>
          <w:sz w:val="24"/>
          <w:szCs w:val="24"/>
        </w:rPr>
        <w:t>第三条 费用结算方式</w:t>
      </w:r>
    </w:p>
    <w:p>
      <w:pPr>
        <w:spacing w:before="156" w:beforeLines="50" w:after="156" w:afterLines="50" w:line="360" w:lineRule="auto"/>
        <w:rPr>
          <w:rFonts w:ascii="仿宋" w:hAnsi="仿宋" w:cs="仿宋"/>
          <w:b/>
          <w:bCs/>
          <w:sz w:val="24"/>
          <w:szCs w:val="24"/>
        </w:rPr>
      </w:pPr>
      <w:r>
        <w:rPr>
          <w:rFonts w:hint="eastAsia" w:ascii="仿宋" w:hAnsi="仿宋" w:cs="仿宋"/>
          <w:b/>
          <w:bCs/>
          <w:sz w:val="24"/>
          <w:szCs w:val="24"/>
        </w:rPr>
        <w:t>3.1 本合同项下的技术服务费总额为：人民币</w:t>
      </w:r>
      <w:r>
        <w:rPr>
          <w:rFonts w:hint="eastAsia" w:ascii="仿宋" w:hAnsi="仿宋" w:cs="仿宋"/>
          <w:b/>
          <w:bCs/>
          <w:sz w:val="24"/>
          <w:szCs w:val="24"/>
          <w:u w:val="single"/>
        </w:rPr>
        <w:t xml:space="preserve"> </w:t>
      </w:r>
      <w:r>
        <w:rPr>
          <w:rFonts w:hint="eastAsia" w:ascii="仿宋" w:hAnsi="仿宋" w:cs="仿宋"/>
          <w:sz w:val="24"/>
          <w:szCs w:val="24"/>
        </w:rPr>
        <w:t>*</w:t>
      </w:r>
      <w:r>
        <w:rPr>
          <w:rFonts w:ascii="仿宋" w:hAnsi="仿宋" w:cs="仿宋"/>
          <w:sz w:val="24"/>
          <w:szCs w:val="24"/>
        </w:rPr>
        <w:t>*</w:t>
      </w:r>
      <w:r>
        <w:rPr>
          <w:rFonts w:hint="eastAsia" w:ascii="仿宋" w:hAnsi="仿宋" w:cs="仿宋"/>
          <w:b/>
          <w:bCs/>
          <w:sz w:val="24"/>
          <w:szCs w:val="24"/>
          <w:u w:val="single"/>
        </w:rPr>
        <w:t xml:space="preserve"> </w:t>
      </w:r>
      <w:r>
        <w:rPr>
          <w:rFonts w:hint="eastAsia" w:ascii="仿宋" w:hAnsi="仿宋" w:cs="仿宋"/>
          <w:sz w:val="24"/>
          <w:szCs w:val="24"/>
          <w:u w:val="single"/>
        </w:rPr>
        <w:t>元</w:t>
      </w:r>
      <w:r>
        <w:rPr>
          <w:rFonts w:hint="eastAsia"/>
          <w:sz w:val="24"/>
          <w:szCs w:val="24"/>
          <w:u w:val="single"/>
        </w:rPr>
        <w:t>整</w:t>
      </w:r>
      <w:r>
        <w:rPr>
          <w:rFonts w:hint="eastAsia" w:ascii="仿宋" w:hAnsi="仿宋" w:cs="仿宋"/>
          <w:b/>
          <w:bCs/>
          <w:sz w:val="24"/>
          <w:szCs w:val="24"/>
        </w:rPr>
        <w:t>（￥</w:t>
      </w:r>
      <w:r>
        <w:rPr>
          <w:rFonts w:hint="eastAsia" w:ascii="仿宋" w:hAnsi="仿宋" w:cs="仿宋"/>
          <w:sz w:val="24"/>
          <w:szCs w:val="24"/>
        </w:rPr>
        <w:t>*</w:t>
      </w:r>
      <w:r>
        <w:rPr>
          <w:rFonts w:ascii="仿宋" w:hAnsi="仿宋" w:cs="仿宋"/>
          <w:sz w:val="24"/>
          <w:szCs w:val="24"/>
        </w:rPr>
        <w:t>*</w:t>
      </w:r>
      <w:r>
        <w:rPr>
          <w:rFonts w:hint="eastAsia" w:ascii="仿宋" w:hAnsi="仿宋" w:cs="仿宋"/>
          <w:b/>
          <w:bCs/>
          <w:sz w:val="24"/>
          <w:szCs w:val="24"/>
        </w:rPr>
        <w:t>.00）。</w:t>
      </w:r>
    </w:p>
    <w:p>
      <w:pPr>
        <w:spacing w:before="156" w:beforeLines="50" w:after="156" w:afterLines="50" w:line="360" w:lineRule="auto"/>
        <w:rPr>
          <w:rFonts w:ascii="仿宋" w:hAnsi="仿宋" w:cs="仿宋"/>
          <w:sz w:val="24"/>
          <w:szCs w:val="24"/>
        </w:rPr>
      </w:pPr>
      <w:r>
        <w:rPr>
          <w:rFonts w:hint="eastAsia" w:ascii="仿宋" w:hAnsi="仿宋" w:cs="仿宋"/>
          <w:sz w:val="24"/>
          <w:szCs w:val="24"/>
        </w:rPr>
        <w:t>结算方式：按照本合同第</w:t>
      </w:r>
      <w:r>
        <w:rPr>
          <w:rFonts w:ascii="仿宋" w:hAnsi="仿宋" w:cs="仿宋"/>
          <w:sz w:val="24"/>
          <w:szCs w:val="24"/>
        </w:rPr>
        <w:t>3</w:t>
      </w:r>
      <w:r>
        <w:rPr>
          <w:rFonts w:hint="eastAsia" w:ascii="仿宋" w:hAnsi="仿宋" w:cs="仿宋"/>
          <w:sz w:val="24"/>
          <w:szCs w:val="24"/>
        </w:rPr>
        <w:t>.2约定的费用明细进行结算。</w:t>
      </w:r>
    </w:p>
    <w:p>
      <w:pPr>
        <w:spacing w:before="156" w:beforeLines="50" w:after="156" w:afterLines="50" w:line="360" w:lineRule="auto"/>
        <w:rPr>
          <w:rFonts w:ascii="仿宋" w:hAnsi="仿宋" w:cs="仿宋"/>
          <w:b/>
          <w:bCs/>
          <w:sz w:val="24"/>
          <w:szCs w:val="24"/>
        </w:rPr>
      </w:pPr>
      <w:r>
        <w:rPr>
          <w:rFonts w:hint="eastAsia" w:ascii="仿宋" w:hAnsi="仿宋" w:cs="仿宋"/>
          <w:b/>
          <w:bCs/>
          <w:sz w:val="24"/>
          <w:szCs w:val="24"/>
        </w:rPr>
        <w:t>3.2 具体支付方式和时间如下：</w:t>
      </w:r>
    </w:p>
    <w:p>
      <w:pPr>
        <w:spacing w:before="156" w:beforeLines="50" w:after="156" w:afterLines="50" w:line="360" w:lineRule="auto"/>
        <w:ind w:firstLine="480" w:firstLineChars="200"/>
        <w:rPr>
          <w:rFonts w:ascii="仿宋" w:hAnsi="仿宋" w:cs="仿宋"/>
          <w:bCs/>
          <w:sz w:val="24"/>
          <w:szCs w:val="24"/>
        </w:rPr>
      </w:pPr>
      <w:r>
        <w:rPr>
          <w:rFonts w:hint="eastAsia" w:ascii="仿宋" w:hAnsi="仿宋" w:cs="仿宋"/>
          <w:bCs/>
          <w:sz w:val="24"/>
          <w:szCs w:val="24"/>
        </w:rPr>
        <w:t xml:space="preserve"> 双方经协商，一致同意采用 </w:t>
      </w:r>
      <w:r>
        <w:rPr>
          <w:rFonts w:hint="eastAsia" w:ascii="仿宋" w:hAnsi="仿宋" w:cs="仿宋"/>
          <w:bCs/>
          <w:sz w:val="24"/>
          <w:szCs w:val="24"/>
          <w:u w:val="single"/>
        </w:rPr>
        <w:t xml:space="preserve"> 电子转账 </w:t>
      </w:r>
      <w:r>
        <w:rPr>
          <w:rFonts w:hint="eastAsia" w:ascii="仿宋" w:hAnsi="仿宋" w:cs="仿宋"/>
          <w:bCs/>
          <w:sz w:val="24"/>
          <w:szCs w:val="24"/>
        </w:rPr>
        <w:t>付款方式。</w:t>
      </w:r>
    </w:p>
    <w:p>
      <w:pPr>
        <w:spacing w:before="156" w:beforeLines="50" w:after="156" w:afterLines="50" w:line="360" w:lineRule="auto"/>
        <w:ind w:firstLine="480" w:firstLineChars="200"/>
        <w:rPr>
          <w:rFonts w:ascii="仿宋" w:hAnsi="仿宋" w:cs="仿宋"/>
          <w:sz w:val="24"/>
          <w:szCs w:val="24"/>
        </w:rPr>
      </w:pPr>
      <w:r>
        <w:rPr>
          <w:rFonts w:hint="eastAsia" w:ascii="仿宋" w:hAnsi="仿宋" w:cs="仿宋"/>
          <w:sz w:val="24"/>
          <w:szCs w:val="24"/>
        </w:rPr>
        <w:t>合同签署后，甲方确认收到发票后的7个工作日内，将项目首付款（总金额的3</w:t>
      </w:r>
      <w:r>
        <w:rPr>
          <w:rFonts w:ascii="仿宋" w:hAnsi="仿宋" w:cs="仿宋"/>
          <w:sz w:val="24"/>
          <w:szCs w:val="24"/>
        </w:rPr>
        <w:t>0%</w:t>
      </w:r>
      <w:r>
        <w:rPr>
          <w:rFonts w:hint="eastAsia" w:ascii="仿宋" w:hAnsi="仿宋" w:cs="仿宋"/>
          <w:sz w:val="24"/>
          <w:szCs w:val="24"/>
        </w:rPr>
        <w:t>）人民币</w:t>
      </w:r>
      <w:r>
        <w:rPr>
          <w:rFonts w:hint="eastAsia" w:ascii="仿宋" w:hAnsi="仿宋" w:cs="仿宋"/>
          <w:sz w:val="24"/>
          <w:szCs w:val="24"/>
          <w:u w:val="single"/>
        </w:rPr>
        <w:t xml:space="preserve"> </w:t>
      </w:r>
      <w:r>
        <w:rPr>
          <w:rFonts w:hint="eastAsia" w:ascii="仿宋" w:hAnsi="仿宋" w:cs="仿宋"/>
          <w:sz w:val="24"/>
          <w:szCs w:val="24"/>
        </w:rPr>
        <w:t>*</w:t>
      </w:r>
      <w:r>
        <w:rPr>
          <w:rFonts w:ascii="仿宋" w:hAnsi="仿宋" w:cs="仿宋"/>
          <w:sz w:val="24"/>
          <w:szCs w:val="24"/>
        </w:rPr>
        <w:t>*</w:t>
      </w:r>
      <w:r>
        <w:rPr>
          <w:rFonts w:hint="eastAsia" w:ascii="仿宋" w:hAnsi="仿宋" w:cs="仿宋"/>
          <w:sz w:val="24"/>
          <w:szCs w:val="24"/>
          <w:u w:val="single"/>
        </w:rPr>
        <w:t xml:space="preserve"> 元</w:t>
      </w:r>
      <w:r>
        <w:rPr>
          <w:rFonts w:hint="eastAsia"/>
          <w:sz w:val="24"/>
          <w:szCs w:val="24"/>
          <w:u w:val="single"/>
        </w:rPr>
        <w:t>整</w:t>
      </w:r>
      <w:r>
        <w:rPr>
          <w:rFonts w:hint="eastAsia" w:ascii="仿宋" w:hAnsi="仿宋" w:cs="仿宋"/>
          <w:sz w:val="24"/>
          <w:szCs w:val="24"/>
        </w:rPr>
        <w:t>（￥*</w:t>
      </w:r>
      <w:r>
        <w:rPr>
          <w:rFonts w:ascii="仿宋" w:hAnsi="仿宋" w:cs="仿宋"/>
          <w:sz w:val="24"/>
          <w:szCs w:val="24"/>
        </w:rPr>
        <w:t>*</w:t>
      </w:r>
      <w:r>
        <w:rPr>
          <w:rFonts w:hint="eastAsia" w:ascii="仿宋" w:hAnsi="仿宋" w:cs="仿宋"/>
          <w:sz w:val="24"/>
          <w:szCs w:val="24"/>
        </w:rPr>
        <w:t>.00）转入乙方帐户，用于启动检测与分析工作；在乙方收到项目首付款、乙方收到甲方确认继续实验的邮件后项目正式启动。</w:t>
      </w:r>
    </w:p>
    <w:p>
      <w:pPr>
        <w:spacing w:before="156" w:beforeLines="50" w:after="156" w:afterLines="50" w:line="360" w:lineRule="auto"/>
        <w:ind w:firstLine="480" w:firstLineChars="200"/>
        <w:rPr>
          <w:rFonts w:ascii="仿宋" w:hAnsi="仿宋" w:cs="仿宋"/>
          <w:sz w:val="24"/>
          <w:szCs w:val="24"/>
        </w:rPr>
      </w:pPr>
      <w:r>
        <w:rPr>
          <w:rFonts w:hint="eastAsia" w:ascii="仿宋" w:hAnsi="仿宋" w:cs="仿宋"/>
          <w:sz w:val="24"/>
          <w:szCs w:val="24"/>
        </w:rPr>
        <w:t>乙方完成检测后，向甲方提交项目结题报告，请甲方收到结题报告后进行项目结算确认，并在确认收到发票后的10个工作日内把项目尾款（总金额的7</w:t>
      </w:r>
      <w:r>
        <w:rPr>
          <w:rFonts w:ascii="仿宋" w:hAnsi="仿宋" w:cs="仿宋"/>
          <w:sz w:val="24"/>
          <w:szCs w:val="24"/>
        </w:rPr>
        <w:t>0%</w:t>
      </w:r>
      <w:r>
        <w:rPr>
          <w:rFonts w:hint="eastAsia" w:ascii="仿宋" w:hAnsi="仿宋" w:cs="仿宋"/>
          <w:sz w:val="24"/>
          <w:szCs w:val="24"/>
        </w:rPr>
        <w:t>）人民币</w:t>
      </w:r>
      <w:r>
        <w:rPr>
          <w:rFonts w:hint="eastAsia" w:ascii="仿宋" w:hAnsi="仿宋" w:cs="仿宋"/>
          <w:sz w:val="24"/>
          <w:szCs w:val="24"/>
          <w:u w:val="single"/>
        </w:rPr>
        <w:t xml:space="preserve"> </w:t>
      </w:r>
      <w:r>
        <w:rPr>
          <w:rFonts w:hint="eastAsia" w:ascii="仿宋" w:hAnsi="仿宋" w:cs="仿宋"/>
          <w:sz w:val="24"/>
          <w:szCs w:val="24"/>
        </w:rPr>
        <w:t>*</w:t>
      </w:r>
      <w:r>
        <w:rPr>
          <w:rFonts w:ascii="仿宋" w:hAnsi="仿宋" w:cs="仿宋"/>
          <w:sz w:val="24"/>
          <w:szCs w:val="24"/>
        </w:rPr>
        <w:t>*</w:t>
      </w:r>
      <w:r>
        <w:rPr>
          <w:rFonts w:hint="eastAsia" w:ascii="仿宋" w:hAnsi="仿宋" w:cs="仿宋"/>
          <w:sz w:val="24"/>
          <w:szCs w:val="24"/>
          <w:u w:val="single"/>
        </w:rPr>
        <w:t>元</w:t>
      </w:r>
      <w:r>
        <w:rPr>
          <w:rFonts w:hint="eastAsia"/>
          <w:sz w:val="24"/>
          <w:szCs w:val="24"/>
          <w:u w:val="single"/>
        </w:rPr>
        <w:t>整</w:t>
      </w:r>
      <w:r>
        <w:rPr>
          <w:rFonts w:hint="eastAsia" w:ascii="仿宋" w:hAnsi="仿宋" w:cs="仿宋"/>
          <w:sz w:val="24"/>
          <w:szCs w:val="24"/>
        </w:rPr>
        <w:t>（￥*</w:t>
      </w:r>
      <w:r>
        <w:rPr>
          <w:rFonts w:ascii="仿宋" w:hAnsi="仿宋" w:cs="仿宋"/>
          <w:sz w:val="24"/>
          <w:szCs w:val="24"/>
        </w:rPr>
        <w:t>*</w:t>
      </w:r>
      <w:r>
        <w:rPr>
          <w:rFonts w:hint="eastAsia" w:ascii="仿宋" w:hAnsi="仿宋" w:cs="仿宋"/>
          <w:sz w:val="24"/>
          <w:szCs w:val="24"/>
        </w:rPr>
        <w:t>.00）转入乙方账户，届时乙方将所有检测数据提交给甲方。</w:t>
      </w:r>
    </w:p>
    <w:p>
      <w:pPr>
        <w:spacing w:before="156" w:beforeLines="50" w:after="156" w:afterLines="50" w:line="360" w:lineRule="auto"/>
        <w:ind w:firstLine="480" w:firstLineChars="200"/>
        <w:rPr>
          <w:rFonts w:ascii="仿宋" w:hAnsi="仿宋" w:cs="仿宋"/>
          <w:bCs/>
          <w:sz w:val="24"/>
          <w:szCs w:val="24"/>
        </w:rPr>
      </w:pPr>
      <w:r>
        <w:rPr>
          <w:rFonts w:hint="eastAsia" w:ascii="仿宋" w:hAnsi="仿宋" w:cs="仿宋"/>
          <w:sz w:val="24"/>
          <w:szCs w:val="24"/>
        </w:rPr>
        <w:t>如试验过程甲方因实际需要而增加样本数量，经乙方同意后，技术服务费用按照实际的样本数量进行计算。甲方需按照乙方要求支付技术服务费差额，差额支付后，乙方将完整的数据和报告全部交给甲方。如甲方未按规定时间支付差额费用，乙方不承担因此导致的项目延期、成果交付迟延等责任。</w:t>
      </w:r>
    </w:p>
    <w:p>
      <w:pPr>
        <w:spacing w:before="156" w:beforeLines="50" w:after="156" w:afterLines="50" w:line="360" w:lineRule="auto"/>
        <w:outlineLvl w:val="0"/>
        <w:rPr>
          <w:rFonts w:ascii="仿宋" w:hAnsi="仿宋" w:cs="仿宋"/>
          <w:b/>
          <w:sz w:val="24"/>
          <w:szCs w:val="24"/>
        </w:rPr>
      </w:pPr>
      <w:r>
        <w:rPr>
          <w:rFonts w:hint="eastAsia" w:ascii="仿宋" w:hAnsi="仿宋" w:cs="仿宋"/>
          <w:b/>
          <w:sz w:val="24"/>
          <w:szCs w:val="24"/>
        </w:rPr>
        <w:t>第四条 各方在合同执行中的义务</w:t>
      </w:r>
    </w:p>
    <w:p>
      <w:pPr>
        <w:spacing w:before="156" w:beforeLines="50" w:after="156" w:afterLines="50" w:line="360" w:lineRule="auto"/>
        <w:rPr>
          <w:rFonts w:ascii="仿宋" w:hAnsi="仿宋" w:cs="仿宋"/>
          <w:b/>
          <w:sz w:val="24"/>
          <w:szCs w:val="24"/>
        </w:rPr>
      </w:pPr>
      <w:r>
        <w:rPr>
          <w:rFonts w:hint="eastAsia" w:ascii="仿宋" w:hAnsi="仿宋" w:cs="仿宋"/>
          <w:b/>
          <w:sz w:val="24"/>
          <w:szCs w:val="24"/>
        </w:rPr>
        <w:t>4.1 甲方义务：</w:t>
      </w:r>
    </w:p>
    <w:p>
      <w:pPr>
        <w:spacing w:line="360" w:lineRule="auto"/>
        <w:rPr>
          <w:sz w:val="24"/>
          <w:szCs w:val="24"/>
        </w:rPr>
      </w:pPr>
      <w:r>
        <w:rPr>
          <w:rFonts w:hint="eastAsia" w:ascii="仿宋" w:hAnsi="仿宋" w:cs="仿宋"/>
          <w:sz w:val="24"/>
          <w:szCs w:val="24"/>
        </w:rPr>
        <w:t>4</w:t>
      </w:r>
      <w:r>
        <w:rPr>
          <w:rFonts w:ascii="仿宋" w:hAnsi="仿宋" w:cs="仿宋"/>
          <w:sz w:val="24"/>
          <w:szCs w:val="24"/>
        </w:rPr>
        <w:t>.1.1</w:t>
      </w:r>
      <w:r>
        <w:rPr>
          <w:rFonts w:hint="eastAsia"/>
          <w:sz w:val="24"/>
          <w:szCs w:val="24"/>
        </w:rPr>
        <w:t>关于人类遗传资源的特别约定</w:t>
      </w:r>
    </w:p>
    <w:p>
      <w:pPr>
        <w:spacing w:line="360" w:lineRule="auto"/>
        <w:rPr>
          <w:sz w:val="24"/>
          <w:szCs w:val="24"/>
        </w:rPr>
      </w:pPr>
      <w:r>
        <w:rPr>
          <w:rFonts w:hint="eastAsia"/>
          <w:sz w:val="24"/>
          <w:szCs w:val="24"/>
        </w:rPr>
        <w:t>甲方需如实填写，并提供相关审批备案材料：</w:t>
      </w:r>
    </w:p>
    <w:p>
      <w:pPr>
        <w:pStyle w:val="9"/>
        <w:numPr>
          <w:ilvl w:val="0"/>
          <w:numId w:val="1"/>
        </w:numPr>
        <w:spacing w:line="360" w:lineRule="auto"/>
        <w:ind w:firstLineChars="0"/>
        <w:rPr>
          <w:sz w:val="24"/>
          <w:szCs w:val="24"/>
        </w:rPr>
      </w:pPr>
      <w:r>
        <w:rPr>
          <w:rFonts w:hint="eastAsia"/>
          <w:sz w:val="24"/>
          <w:szCs w:val="24"/>
        </w:rPr>
        <w:t>本合同项下所提供的样本，□属于/</w:t>
      </w:r>
      <w:r>
        <w:rPr>
          <w:rFonts w:hint="eastAsia"/>
          <w:sz w:val="24"/>
          <w:szCs w:val="24"/>
        </w:rPr>
        <w:sym w:font="Wingdings 2" w:char="0052"/>
      </w:r>
      <w:r>
        <w:rPr>
          <w:rFonts w:hint="eastAsia"/>
          <w:sz w:val="24"/>
          <w:szCs w:val="24"/>
        </w:rPr>
        <w:t>不属于我国人类遗传资源材料或者信息。若属于请填写（二）</w:t>
      </w:r>
    </w:p>
    <w:p>
      <w:pPr>
        <w:pStyle w:val="9"/>
        <w:numPr>
          <w:ilvl w:val="0"/>
          <w:numId w:val="1"/>
        </w:numPr>
        <w:spacing w:line="360" w:lineRule="auto"/>
        <w:ind w:firstLineChars="0"/>
        <w:rPr>
          <w:sz w:val="24"/>
          <w:szCs w:val="24"/>
        </w:rPr>
      </w:pPr>
      <w:r>
        <w:rPr>
          <w:rFonts w:hint="eastAsia"/>
          <w:sz w:val="24"/>
          <w:szCs w:val="24"/>
        </w:rPr>
        <w:t>本合同下的样本□是/</w:t>
      </w:r>
      <w:r>
        <w:rPr>
          <w:rFonts w:hint="eastAsia"/>
          <w:sz w:val="24"/>
          <w:szCs w:val="24"/>
        </w:rPr>
        <w:sym w:font="Wingdings 2" w:char="0052"/>
      </w:r>
      <w:r>
        <w:rPr>
          <w:rFonts w:hint="eastAsia"/>
          <w:sz w:val="24"/>
          <w:szCs w:val="24"/>
        </w:rPr>
        <w:t>不是为临床诊疗、采供血服务、查处违法犯罪、兴奋剂检测和殡葬等活动需要，采集、保藏器官、组织、细胞等人体物质及开展相关活动。</w:t>
      </w:r>
    </w:p>
    <w:p>
      <w:pPr>
        <w:spacing w:line="360" w:lineRule="auto"/>
        <w:rPr>
          <w:sz w:val="24"/>
          <w:szCs w:val="24"/>
        </w:rPr>
      </w:pPr>
      <w:r>
        <w:rPr>
          <w:rFonts w:hint="eastAsia"/>
          <w:sz w:val="24"/>
          <w:szCs w:val="24"/>
        </w:rPr>
        <w:t>若是，甲方应随合同向乙方提供相应资质和审批文件。</w:t>
      </w:r>
    </w:p>
    <w:p>
      <w:pPr>
        <w:spacing w:line="360" w:lineRule="auto"/>
        <w:rPr>
          <w:sz w:val="24"/>
          <w:szCs w:val="24"/>
        </w:rPr>
      </w:pPr>
      <w:r>
        <w:rPr>
          <w:rFonts w:hint="eastAsia"/>
          <w:sz w:val="24"/>
          <w:szCs w:val="24"/>
        </w:rPr>
        <w:t>若不是，请继续填写：</w:t>
      </w:r>
    </w:p>
    <w:p>
      <w:pPr>
        <w:pStyle w:val="9"/>
        <w:numPr>
          <w:ilvl w:val="0"/>
          <w:numId w:val="2"/>
        </w:numPr>
        <w:spacing w:line="360" w:lineRule="auto"/>
        <w:ind w:firstLineChars="0"/>
        <w:rPr>
          <w:sz w:val="24"/>
          <w:szCs w:val="24"/>
        </w:rPr>
      </w:pPr>
      <w:r>
        <w:rPr>
          <w:rFonts w:hint="eastAsia"/>
          <w:sz w:val="24"/>
          <w:szCs w:val="24"/>
        </w:rPr>
        <w:t>本合同下的样本□属于/</w:t>
      </w:r>
      <w:r>
        <w:rPr>
          <w:rFonts w:hint="eastAsia"/>
          <w:sz w:val="24"/>
          <w:szCs w:val="24"/>
        </w:rPr>
        <w:sym w:font="Wingdings 2" w:char="0052"/>
      </w:r>
      <w:r>
        <w:rPr>
          <w:rFonts w:hint="eastAsia"/>
          <w:sz w:val="24"/>
          <w:szCs w:val="24"/>
        </w:rPr>
        <w:t>不属于我国重要遗传家系、特定地区人类遗传资源或者国务院科学技术行政部门规定种类的人类遗传资源。</w:t>
      </w:r>
    </w:p>
    <w:p>
      <w:pPr>
        <w:pStyle w:val="9"/>
        <w:numPr>
          <w:ilvl w:val="0"/>
          <w:numId w:val="2"/>
        </w:numPr>
        <w:spacing w:line="360" w:lineRule="auto"/>
        <w:ind w:firstLineChars="0"/>
        <w:rPr>
          <w:sz w:val="24"/>
          <w:szCs w:val="24"/>
        </w:rPr>
      </w:pPr>
      <w:r>
        <w:rPr>
          <w:rFonts w:hint="eastAsia"/>
          <w:sz w:val="24"/>
          <w:szCs w:val="24"/>
        </w:rPr>
        <w:t>本合同项下人类遗传资源累积采集数量□是/</w:t>
      </w:r>
      <w:r>
        <w:rPr>
          <w:rFonts w:hint="eastAsia"/>
          <w:sz w:val="24"/>
          <w:szCs w:val="24"/>
        </w:rPr>
        <w:sym w:font="Wingdings 2" w:char="0052"/>
      </w:r>
      <w:r>
        <w:rPr>
          <w:rFonts w:hint="eastAsia"/>
          <w:sz w:val="24"/>
          <w:szCs w:val="24"/>
        </w:rPr>
        <w:t>不是达到国务院科学技术行政部门规定的数量</w:t>
      </w:r>
    </w:p>
    <w:p>
      <w:pPr>
        <w:pStyle w:val="9"/>
        <w:numPr>
          <w:ilvl w:val="0"/>
          <w:numId w:val="2"/>
        </w:numPr>
        <w:spacing w:line="360" w:lineRule="auto"/>
        <w:ind w:firstLineChars="0"/>
        <w:rPr>
          <w:sz w:val="24"/>
          <w:szCs w:val="24"/>
        </w:rPr>
      </w:pPr>
      <w:r>
        <w:rPr>
          <w:rFonts w:hint="eastAsia"/>
          <w:sz w:val="24"/>
          <w:szCs w:val="24"/>
        </w:rPr>
        <w:t>甲方研究项目□涉及/</w:t>
      </w:r>
      <w:r>
        <w:rPr>
          <w:rFonts w:hint="eastAsia"/>
          <w:sz w:val="24"/>
          <w:szCs w:val="24"/>
        </w:rPr>
        <w:sym w:font="Wingdings 2" w:char="0052"/>
      </w:r>
      <w:r>
        <w:rPr>
          <w:rFonts w:hint="eastAsia"/>
          <w:sz w:val="24"/>
          <w:szCs w:val="24"/>
        </w:rPr>
        <w:t>不涉及外方单位参与研究</w:t>
      </w:r>
    </w:p>
    <w:p>
      <w:pPr>
        <w:pStyle w:val="9"/>
        <w:numPr>
          <w:ilvl w:val="0"/>
          <w:numId w:val="2"/>
        </w:numPr>
        <w:spacing w:line="360" w:lineRule="auto"/>
        <w:ind w:firstLineChars="0"/>
        <w:rPr>
          <w:sz w:val="24"/>
          <w:szCs w:val="24"/>
        </w:rPr>
      </w:pPr>
      <w:r>
        <w:rPr>
          <w:rFonts w:hint="eastAsia"/>
          <w:sz w:val="24"/>
          <w:szCs w:val="24"/>
        </w:rPr>
        <w:t>本合同下中国人类遗传资源材料□会/</w:t>
      </w:r>
      <w:r>
        <w:rPr>
          <w:rFonts w:hint="eastAsia"/>
          <w:sz w:val="24"/>
          <w:szCs w:val="24"/>
        </w:rPr>
        <w:sym w:font="Wingdings 2" w:char="0052"/>
      </w:r>
      <w:r>
        <w:rPr>
          <w:rFonts w:hint="eastAsia"/>
          <w:sz w:val="24"/>
          <w:szCs w:val="24"/>
        </w:rPr>
        <w:t>不会转移到境外</w:t>
      </w:r>
    </w:p>
    <w:p>
      <w:pPr>
        <w:pStyle w:val="9"/>
        <w:numPr>
          <w:ilvl w:val="0"/>
          <w:numId w:val="2"/>
        </w:numPr>
        <w:spacing w:line="360" w:lineRule="auto"/>
        <w:ind w:firstLineChars="0"/>
        <w:rPr>
          <w:sz w:val="24"/>
          <w:szCs w:val="24"/>
        </w:rPr>
      </w:pPr>
      <w:r>
        <w:rPr>
          <w:rFonts w:hint="eastAsia"/>
          <w:sz w:val="24"/>
          <w:szCs w:val="24"/>
        </w:rPr>
        <w:t>本合同项下中国人类遗传资源信息□会/</w:t>
      </w:r>
      <w:r>
        <w:rPr>
          <w:rFonts w:hint="eastAsia"/>
          <w:sz w:val="24"/>
          <w:szCs w:val="24"/>
        </w:rPr>
        <w:sym w:font="Wingdings 2" w:char="0052"/>
      </w:r>
      <w:r>
        <w:rPr>
          <w:rFonts w:hint="eastAsia"/>
          <w:sz w:val="24"/>
          <w:szCs w:val="24"/>
        </w:rPr>
        <w:t>不会向外方单位提供或者开放使用</w:t>
      </w:r>
    </w:p>
    <w:p>
      <w:pPr>
        <w:pStyle w:val="9"/>
        <w:numPr>
          <w:ilvl w:val="0"/>
          <w:numId w:val="2"/>
        </w:numPr>
        <w:spacing w:line="360" w:lineRule="auto"/>
        <w:ind w:firstLineChars="0"/>
        <w:rPr>
          <w:sz w:val="24"/>
          <w:szCs w:val="24"/>
        </w:rPr>
      </w:pPr>
      <w:r>
        <w:rPr>
          <w:rFonts w:hint="eastAsia"/>
          <w:sz w:val="24"/>
          <w:szCs w:val="24"/>
        </w:rPr>
        <w:t>本单位□是/</w:t>
      </w:r>
      <w:r>
        <w:rPr>
          <w:rFonts w:hint="eastAsia"/>
          <w:sz w:val="24"/>
          <w:szCs w:val="24"/>
        </w:rPr>
        <w:sym w:font="Wingdings 2" w:char="0052"/>
      </w:r>
      <w:r>
        <w:rPr>
          <w:rFonts w:hint="eastAsia"/>
          <w:sz w:val="24"/>
          <w:szCs w:val="24"/>
        </w:rPr>
        <w:t>不是外方单位</w:t>
      </w:r>
    </w:p>
    <w:p>
      <w:pPr>
        <w:spacing w:line="360" w:lineRule="auto"/>
        <w:rPr>
          <w:sz w:val="24"/>
          <w:szCs w:val="24"/>
        </w:rPr>
      </w:pPr>
      <w:r>
        <w:rPr>
          <w:rFonts w:hint="eastAsia"/>
          <w:sz w:val="24"/>
          <w:szCs w:val="24"/>
        </w:rPr>
        <w:t>以上选项任一项如为肯定，甲方须依照人类遗传资源相关法律法规向相关部门申报审批备案，并将相关审批或备案文件随本合同一并提交给乙方。如甲方未办理审批备案，乙方有权单方终止本合同。</w:t>
      </w:r>
    </w:p>
    <w:p>
      <w:pPr>
        <w:spacing w:line="360" w:lineRule="auto"/>
        <w:rPr>
          <w:rFonts w:ascii="仿宋" w:hAnsi="仿宋" w:cs="仿宋"/>
          <w:sz w:val="24"/>
          <w:szCs w:val="24"/>
        </w:rPr>
      </w:pPr>
      <w:r>
        <w:rPr>
          <w:rFonts w:hint="eastAsia"/>
          <w:sz w:val="24"/>
          <w:szCs w:val="24"/>
        </w:rPr>
        <w:t>甲方依照人类遗传资源相关法律法规向相关部门申报审批备案时，需将乙方作为合作单位申请的，应按照相关法律法规向乙方提供申请相关文件材料经乙方审核同意后方可对外申报。</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2</w:t>
      </w:r>
      <w:r>
        <w:rPr>
          <w:rFonts w:hint="eastAsia" w:ascii="仿宋" w:hAnsi="仿宋" w:cs="仿宋"/>
          <w:sz w:val="24"/>
          <w:szCs w:val="24"/>
        </w:rPr>
        <w:t xml:space="preserve"> 甲方需按照乙方样本收集指南的要求向乙方提供合格且足量的蛋白或组织样本。</w:t>
      </w:r>
      <w:r>
        <w:rPr>
          <w:rFonts w:hint="eastAsia" w:ascii="仿宋" w:hAnsi="仿宋" w:cs="仿宋"/>
          <w:kern w:val="0"/>
          <w:sz w:val="24"/>
          <w:szCs w:val="24"/>
        </w:rPr>
        <w:t>如果甲方未按乙方要求提供样本，对于样本需要转管可能造成的样本质量问题，乙方不承担任何责任。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3</w:t>
      </w:r>
      <w:r>
        <w:rPr>
          <w:rFonts w:hint="eastAsia" w:ascii="仿宋" w:hAnsi="仿宋" w:cs="仿宋"/>
          <w:sz w:val="24"/>
          <w:szCs w:val="24"/>
        </w:rPr>
        <w:t xml:space="preserve"> 甲方在提供样本的同时须准确填写《项目信息采集单》，应避免填写错误、歧义、遗漏重要说明等情况。寄送样本时须将《项目信息采集单》随同样本一同寄送。因《项目信息采集单》填写不完整、信息不对称或不及时发送造成的样本接收错误、检测错误、项目延期等后果，均由甲方承担。</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4</w:t>
      </w:r>
      <w:r>
        <w:rPr>
          <w:rFonts w:hint="eastAsia" w:ascii="仿宋" w:hAnsi="仿宋" w:cs="仿宋"/>
          <w:sz w:val="24"/>
          <w:szCs w:val="24"/>
        </w:rPr>
        <w:t xml:space="preserve"> 如因甲方样本未能一次通过质检等原因导致项目未能启动，项目周期自动从乙方样本检测合格且收到客户确认继续进行实验邮件次日起开始。</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5</w:t>
      </w:r>
      <w:r>
        <w:rPr>
          <w:rFonts w:hint="eastAsia" w:ascii="仿宋" w:hAnsi="仿宋" w:cs="仿宋"/>
          <w:sz w:val="24"/>
          <w:szCs w:val="24"/>
        </w:rPr>
        <w:t xml:space="preserve"> 对于不符合乙方后续实验要求（包括但不限于样本制备不符合本合同要求、达不到后续实验要求、样本污染、样本损坏等）的样本，甲方如坚持要求进行后续检测工作，必须通过邮件通知乙方，并对实验结果承担一切风险。如甲方未按照前述约定邮件通知乙方，乙方有权单方解除本合同，并对此不承担任何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6</w:t>
      </w:r>
      <w:r>
        <w:rPr>
          <w:rFonts w:hint="eastAsia" w:ascii="仿宋" w:hAnsi="仿宋" w:cs="仿宋"/>
          <w:sz w:val="24"/>
          <w:szCs w:val="24"/>
        </w:rPr>
        <w:t xml:space="preserve"> 对于检测不合格的样本，如需保存，甲方应在样本检测报告发出后7天内与乙方联系。如甲方逾期未与乙方联系，乙方有权在样本检测报告发出之日起10日后销毁检测不合格的样本，并不承担任何法律责任。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7</w:t>
      </w:r>
      <w:r>
        <w:rPr>
          <w:rFonts w:hint="eastAsia" w:ascii="仿宋" w:hAnsi="仿宋" w:cs="仿宋"/>
          <w:sz w:val="24"/>
          <w:szCs w:val="24"/>
        </w:rPr>
        <w:t xml:space="preserve"> 甲方保证其已经履行了签署及履行本合同所需的全部有效决策程序，并且取得了签署及履行本合同所需的全部外部审批手续；甲方保证其签署及履行本合同不违反相应法律法规的规定及甲方与其他第三方签署的相关协议的约定。</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8</w:t>
      </w:r>
      <w:r>
        <w:rPr>
          <w:rFonts w:hint="eastAsia" w:ascii="仿宋" w:hAnsi="仿宋" w:cs="仿宋"/>
          <w:sz w:val="24"/>
          <w:szCs w:val="24"/>
        </w:rPr>
        <w:t xml:space="preserve"> 甲方承诺甲方的委托代理人有权代表甲方与乙方签署本合同，且承诺本合同载明的甲方项目联系人具有对委托乙方的项目进行签字或通过回复邮件进行确认结算等事项的权限。</w:t>
      </w:r>
    </w:p>
    <w:p>
      <w:pPr>
        <w:widowControl/>
        <w:spacing w:before="156" w:beforeLines="50" w:after="156" w:afterLines="50" w:line="360" w:lineRule="auto"/>
        <w:jc w:val="left"/>
        <w:rPr>
          <w:rFonts w:ascii="仿宋" w:hAnsi="仿宋" w:cs="仿宋"/>
          <w:sz w:val="24"/>
          <w:szCs w:val="24"/>
        </w:rPr>
      </w:pPr>
      <w:r>
        <w:rPr>
          <w:rFonts w:hint="eastAsia" w:ascii="仿宋" w:hAnsi="仿宋" w:cs="仿宋"/>
          <w:sz w:val="24"/>
          <w:szCs w:val="24"/>
        </w:rPr>
        <w:t>4.1.</w:t>
      </w:r>
      <w:r>
        <w:rPr>
          <w:rFonts w:ascii="仿宋" w:hAnsi="仿宋" w:cs="仿宋"/>
          <w:sz w:val="24"/>
          <w:szCs w:val="24"/>
        </w:rPr>
        <w:t>9</w:t>
      </w:r>
      <w:r>
        <w:rPr>
          <w:rFonts w:hint="eastAsia" w:ascii="仿宋" w:hAnsi="仿宋" w:cs="仿宋"/>
          <w:sz w:val="24"/>
          <w:szCs w:val="24"/>
        </w:rPr>
        <w:t xml:space="preserve"> 甲方承诺甲方授权的委托代理人，有权代表甲方与乙方签署合同变更文件和补充协议，变更文件和补充协议自甲方的委托代理人签字即对甲方生效。</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4.1.</w:t>
      </w:r>
      <w:r>
        <w:rPr>
          <w:rFonts w:ascii="仿宋" w:hAnsi="仿宋" w:cs="仿宋"/>
          <w:sz w:val="24"/>
          <w:szCs w:val="24"/>
        </w:rPr>
        <w:t>10</w:t>
      </w:r>
      <w:r>
        <w:rPr>
          <w:rFonts w:hint="eastAsia" w:ascii="仿宋" w:hAnsi="仿宋" w:cs="仿宋"/>
          <w:sz w:val="24"/>
          <w:szCs w:val="24"/>
        </w:rPr>
        <w:t xml:space="preserve"> 甲方应履行以下保密义务：</w:t>
      </w:r>
    </w:p>
    <w:p>
      <w:pPr>
        <w:spacing w:before="156" w:beforeLines="50" w:after="156" w:afterLines="50" w:line="360" w:lineRule="auto"/>
        <w:rPr>
          <w:rFonts w:ascii="仿宋" w:hAnsi="仿宋" w:cs="仿宋"/>
          <w:sz w:val="24"/>
          <w:szCs w:val="24"/>
        </w:rPr>
      </w:pPr>
      <w:r>
        <w:rPr>
          <w:rFonts w:hint="eastAsia" w:ascii="仿宋" w:hAnsi="仿宋" w:cs="仿宋"/>
          <w:sz w:val="24"/>
          <w:szCs w:val="24"/>
        </w:rPr>
        <w:t>1）保密内容：原始资料、技术路线、实验报告及与实验有关的资料结果、服务价格，以及甲方及甲方工作人员因履行本合同而了解、知悉的乙方商业秘密与技术秘密等。</w:t>
      </w:r>
    </w:p>
    <w:p>
      <w:pPr>
        <w:spacing w:before="156" w:beforeLines="50" w:after="156" w:afterLines="50" w:line="360" w:lineRule="auto"/>
        <w:rPr>
          <w:rFonts w:ascii="仿宋" w:hAnsi="仿宋" w:cs="仿宋"/>
          <w:sz w:val="24"/>
          <w:szCs w:val="24"/>
        </w:rPr>
      </w:pPr>
      <w:r>
        <w:rPr>
          <w:rFonts w:hint="eastAsia" w:ascii="仿宋" w:hAnsi="仿宋" w:cs="仿宋"/>
          <w:sz w:val="24"/>
          <w:szCs w:val="24"/>
        </w:rPr>
        <w:t>2）涉密人员范围：甲方应保证所有参与本项目的甲方人员均按照本合同约定承担保密义务，非经乙方书面许可，甲方及甲方的工作人员不得将保密内容提供、泄露给任何第三方。</w:t>
      </w:r>
    </w:p>
    <w:p>
      <w:pPr>
        <w:spacing w:before="156" w:beforeLines="50" w:after="156" w:afterLines="50" w:line="360" w:lineRule="auto"/>
        <w:rPr>
          <w:rFonts w:ascii="仿宋" w:hAnsi="仿宋" w:cs="仿宋"/>
          <w:sz w:val="24"/>
          <w:szCs w:val="24"/>
        </w:rPr>
      </w:pPr>
      <w:r>
        <w:rPr>
          <w:rFonts w:hint="eastAsia" w:ascii="仿宋" w:hAnsi="仿宋" w:cs="仿宋"/>
          <w:sz w:val="24"/>
          <w:szCs w:val="24"/>
        </w:rPr>
        <w:t>3）保密期限：永久。</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4）泄密责任：赔偿乙方因甲方及甲方人员泄密所遭受的一切损失。</w:t>
      </w:r>
    </w:p>
    <w:p>
      <w:pPr>
        <w:spacing w:before="156" w:beforeLines="50" w:after="156" w:afterLines="50" w:line="360" w:lineRule="auto"/>
        <w:rPr>
          <w:rFonts w:ascii="仿宋" w:hAnsi="仿宋" w:cs="仿宋"/>
          <w:bCs/>
          <w:sz w:val="24"/>
          <w:szCs w:val="24"/>
        </w:rPr>
      </w:pPr>
      <w:r>
        <w:rPr>
          <w:rFonts w:hint="eastAsia" w:ascii="仿宋" w:hAnsi="仿宋" w:cs="仿宋"/>
          <w:b/>
          <w:sz w:val="24"/>
          <w:szCs w:val="24"/>
        </w:rPr>
        <w:t>4.2 乙方义务：</w:t>
      </w:r>
    </w:p>
    <w:p>
      <w:pPr>
        <w:spacing w:before="156" w:beforeLines="50" w:after="156" w:afterLines="50" w:line="360" w:lineRule="auto"/>
        <w:rPr>
          <w:rFonts w:ascii="仿宋" w:hAnsi="仿宋" w:cs="仿宋"/>
          <w:bCs/>
          <w:sz w:val="24"/>
          <w:szCs w:val="24"/>
        </w:rPr>
      </w:pPr>
      <w:r>
        <w:rPr>
          <w:rFonts w:hint="eastAsia" w:ascii="仿宋" w:hAnsi="仿宋" w:cs="仿宋"/>
          <w:bCs/>
          <w:sz w:val="24"/>
          <w:szCs w:val="24"/>
        </w:rPr>
        <w:t>4.2.1 乙方在收到甲方符合本合同相关约定的样本和《</w:t>
      </w:r>
      <w:r>
        <w:rPr>
          <w:rFonts w:hint="eastAsia" w:ascii="仿宋" w:hAnsi="仿宋" w:cs="仿宋"/>
          <w:sz w:val="24"/>
          <w:szCs w:val="24"/>
        </w:rPr>
        <w:t>项目信息采集单</w:t>
      </w:r>
      <w:r>
        <w:rPr>
          <w:rFonts w:hint="eastAsia" w:ascii="仿宋" w:hAnsi="仿宋" w:cs="仿宋"/>
          <w:bCs/>
          <w:sz w:val="24"/>
          <w:szCs w:val="24"/>
        </w:rPr>
        <w:t>》后开始样本检测。</w:t>
      </w:r>
    </w:p>
    <w:p>
      <w:pPr>
        <w:spacing w:before="156" w:beforeLines="50" w:after="156" w:afterLines="50" w:line="360" w:lineRule="auto"/>
        <w:rPr>
          <w:rFonts w:ascii="仿宋" w:hAnsi="仿宋" w:cs="仿宋"/>
          <w:bCs/>
          <w:sz w:val="24"/>
          <w:szCs w:val="24"/>
        </w:rPr>
      </w:pPr>
      <w:r>
        <w:rPr>
          <w:rFonts w:hint="eastAsia" w:ascii="仿宋" w:hAnsi="仿宋" w:cs="仿宋"/>
          <w:bCs/>
          <w:sz w:val="24"/>
          <w:szCs w:val="24"/>
        </w:rPr>
        <w:t>4.2.2 乙方在收到样本检测合格后，甲方书面或邮件确认项目启动后开展</w:t>
      </w:r>
      <w:r>
        <w:rPr>
          <w:rFonts w:hint="eastAsia" w:ascii="仿宋" w:hAnsi="仿宋" w:cs="仿宋"/>
          <w:sz w:val="24"/>
          <w:szCs w:val="24"/>
        </w:rPr>
        <w:t>检测</w:t>
      </w:r>
      <w:r>
        <w:rPr>
          <w:rFonts w:hint="eastAsia" w:ascii="仿宋" w:hAnsi="仿宋" w:cs="仿宋"/>
          <w:bCs/>
          <w:sz w:val="24"/>
          <w:szCs w:val="24"/>
        </w:rPr>
        <w:t xml:space="preserve">工作。 </w:t>
      </w:r>
    </w:p>
    <w:p>
      <w:pPr>
        <w:spacing w:before="156" w:beforeLines="50" w:after="156" w:afterLines="50" w:line="360" w:lineRule="auto"/>
        <w:rPr>
          <w:rFonts w:ascii="仿宋" w:hAnsi="仿宋" w:cs="仿宋"/>
          <w:sz w:val="24"/>
          <w:szCs w:val="24"/>
        </w:rPr>
      </w:pPr>
      <w:r>
        <w:rPr>
          <w:rFonts w:hint="eastAsia" w:ascii="仿宋" w:hAnsi="仿宋" w:cs="仿宋"/>
          <w:bCs/>
          <w:sz w:val="24"/>
          <w:szCs w:val="24"/>
        </w:rPr>
        <w:t>4.2.3 乙方在本合同约定的项目款到位后提供质谱分析数据、报告和</w:t>
      </w:r>
      <w:r>
        <w:rPr>
          <w:rFonts w:hint="eastAsia" w:ascii="仿宋" w:hAnsi="仿宋" w:cs="仿宋"/>
          <w:sz w:val="24"/>
          <w:szCs w:val="24"/>
        </w:rPr>
        <w:t>原始数据。</w:t>
      </w:r>
    </w:p>
    <w:p>
      <w:pPr>
        <w:spacing w:before="156" w:beforeLines="50" w:after="156" w:afterLines="50" w:line="360" w:lineRule="auto"/>
        <w:rPr>
          <w:rFonts w:ascii="仿宋" w:hAnsi="仿宋" w:cs="仿宋"/>
          <w:sz w:val="24"/>
          <w:szCs w:val="24"/>
        </w:rPr>
      </w:pPr>
      <w:r>
        <w:rPr>
          <w:rFonts w:hint="eastAsia" w:ascii="仿宋" w:hAnsi="仿宋" w:cs="仿宋"/>
          <w:sz w:val="24"/>
          <w:szCs w:val="24"/>
        </w:rPr>
        <w:t>乙方技术服务说明：</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4.2.4 乙方在提供最终数据后，可以为甲方继续保留数据</w:t>
      </w:r>
      <w:r>
        <w:rPr>
          <w:rFonts w:ascii="仿宋" w:hAnsi="仿宋" w:cs="仿宋"/>
          <w:sz w:val="24"/>
          <w:szCs w:val="24"/>
        </w:rPr>
        <w:t>3</w:t>
      </w:r>
      <w:r>
        <w:rPr>
          <w:rFonts w:hint="eastAsia" w:ascii="仿宋" w:hAnsi="仿宋" w:cs="仿宋"/>
          <w:sz w:val="24"/>
          <w:szCs w:val="24"/>
        </w:rPr>
        <w:t>个月，若甲方未在届满期前10日书面提出继续保存数据的请求，乙方有权在届满期后删除相关数据；如果甲方在届满期前10日书面提出继续保存数据的请求，则需与乙方另行签订补充协议，并根据实际存储数据量与存储时间向乙方付费。</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4.2.5 乙方不得自行将技术服务成果转让给第三人。</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4.2.6 乙方应履行以下保密义务：</w:t>
      </w:r>
    </w:p>
    <w:p>
      <w:pPr>
        <w:spacing w:before="156" w:beforeLines="50" w:after="156" w:afterLines="50" w:line="360" w:lineRule="auto"/>
        <w:rPr>
          <w:rFonts w:ascii="仿宋" w:hAnsi="仿宋" w:cs="仿宋"/>
          <w:sz w:val="24"/>
          <w:szCs w:val="24"/>
        </w:rPr>
      </w:pPr>
      <w:r>
        <w:rPr>
          <w:rFonts w:hint="eastAsia" w:ascii="仿宋" w:hAnsi="仿宋" w:cs="仿宋"/>
          <w:sz w:val="24"/>
          <w:szCs w:val="24"/>
        </w:rPr>
        <w:t>1）保密内容：原始资料、实验报告、实验数据。</w:t>
      </w:r>
    </w:p>
    <w:p>
      <w:pPr>
        <w:spacing w:before="156" w:beforeLines="50" w:after="156" w:afterLines="50" w:line="360" w:lineRule="auto"/>
        <w:rPr>
          <w:rFonts w:ascii="仿宋" w:hAnsi="仿宋" w:cs="仿宋"/>
          <w:sz w:val="24"/>
          <w:szCs w:val="24"/>
        </w:rPr>
      </w:pPr>
      <w:r>
        <w:rPr>
          <w:rFonts w:hint="eastAsia" w:ascii="仿宋" w:hAnsi="仿宋" w:cs="仿宋"/>
          <w:sz w:val="24"/>
          <w:szCs w:val="24"/>
        </w:rPr>
        <w:t>2）涉密人员范围：乙方应保证，为乙方履行本合同义务而参与本项目的所有人员均按照本合同约定承担保密义务。</w:t>
      </w:r>
    </w:p>
    <w:p>
      <w:pPr>
        <w:spacing w:before="156" w:beforeLines="50" w:after="156" w:afterLines="50" w:line="360" w:lineRule="auto"/>
        <w:rPr>
          <w:rFonts w:ascii="仿宋" w:hAnsi="仿宋" w:cs="仿宋"/>
          <w:sz w:val="24"/>
          <w:szCs w:val="24"/>
        </w:rPr>
      </w:pPr>
      <w:r>
        <w:rPr>
          <w:rFonts w:hint="eastAsia" w:ascii="仿宋" w:hAnsi="仿宋" w:cs="仿宋"/>
          <w:sz w:val="24"/>
          <w:szCs w:val="24"/>
        </w:rPr>
        <w:t>3）乙方不得利用甲方提供标本从事本合同项下研究外的其他研究。</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4）保密期限：永久。</w:t>
      </w:r>
    </w:p>
    <w:p>
      <w:pPr>
        <w:spacing w:before="156" w:beforeLines="50" w:after="156" w:afterLines="50" w:line="360" w:lineRule="auto"/>
        <w:rPr>
          <w:rFonts w:ascii="仿宋" w:hAnsi="仿宋" w:cs="仿宋"/>
          <w:sz w:val="24"/>
          <w:szCs w:val="24"/>
        </w:rPr>
      </w:pPr>
      <w:r>
        <w:rPr>
          <w:rFonts w:hint="eastAsia" w:ascii="仿宋" w:hAnsi="仿宋" w:cs="仿宋"/>
          <w:sz w:val="24"/>
          <w:szCs w:val="24"/>
        </w:rPr>
        <w:t>5）泄密责任：依法承担赔偿责任。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4.2.7 乙方完成服务使用的技术、方法不得侵犯任意第三方合法的知识产权权益，乙方承担因此产生的后果责任。</w:t>
      </w:r>
    </w:p>
    <w:p>
      <w:pPr>
        <w:spacing w:before="156" w:beforeLines="50" w:after="156" w:afterLines="50" w:line="360" w:lineRule="auto"/>
        <w:outlineLvl w:val="0"/>
        <w:rPr>
          <w:rFonts w:ascii="仿宋" w:hAnsi="仿宋" w:cs="仿宋"/>
          <w:b/>
          <w:sz w:val="24"/>
          <w:szCs w:val="24"/>
        </w:rPr>
      </w:pPr>
      <w:r>
        <w:rPr>
          <w:rFonts w:hint="eastAsia" w:ascii="仿宋" w:hAnsi="仿宋" w:cs="仿宋"/>
          <w:b/>
          <w:sz w:val="24"/>
          <w:szCs w:val="24"/>
        </w:rPr>
        <w:t>第五条 交付内容及形式</w:t>
      </w:r>
    </w:p>
    <w:p>
      <w:pPr>
        <w:spacing w:before="156" w:beforeLines="50" w:after="156" w:afterLines="50" w:line="360" w:lineRule="auto"/>
        <w:rPr>
          <w:rFonts w:ascii="仿宋" w:hAnsi="仿宋" w:cs="仿宋"/>
          <w:sz w:val="24"/>
          <w:szCs w:val="24"/>
        </w:rPr>
      </w:pPr>
      <w:r>
        <w:rPr>
          <w:rFonts w:hint="eastAsia" w:ascii="仿宋" w:hAnsi="仿宋" w:cs="仿宋"/>
          <w:b/>
          <w:sz w:val="24"/>
          <w:szCs w:val="24"/>
        </w:rPr>
        <w:t>5.1 交付内容：</w:t>
      </w:r>
      <w:r>
        <w:rPr>
          <w:rFonts w:hint="eastAsia" w:ascii="仿宋" w:hAnsi="仿宋" w:cs="仿宋"/>
          <w:sz w:val="24"/>
          <w:szCs w:val="24"/>
        </w:rPr>
        <w:t>项目结题报告（包括相关的质检报告）。</w:t>
      </w:r>
    </w:p>
    <w:p>
      <w:pPr>
        <w:spacing w:before="156" w:beforeLines="50" w:after="156" w:afterLines="50" w:line="360" w:lineRule="auto"/>
        <w:rPr>
          <w:rFonts w:ascii="仿宋" w:hAnsi="仿宋" w:cs="仿宋"/>
          <w:color w:val="FF0000"/>
          <w:sz w:val="24"/>
          <w:szCs w:val="24"/>
        </w:rPr>
      </w:pPr>
      <w:r>
        <w:rPr>
          <w:rFonts w:hint="eastAsia" w:ascii="仿宋" w:hAnsi="仿宋" w:cs="仿宋"/>
          <w:sz w:val="24"/>
          <w:szCs w:val="24"/>
        </w:rPr>
        <w:t>甲方项目联系人需在收到结题报告</w:t>
      </w:r>
      <w:r>
        <w:rPr>
          <w:rFonts w:hint="eastAsia" w:ascii="仿宋" w:hAnsi="仿宋" w:cs="仿宋"/>
          <w:sz w:val="24"/>
          <w:szCs w:val="24"/>
          <w:u w:val="single"/>
        </w:rPr>
        <w:t>20</w:t>
      </w:r>
      <w:r>
        <w:rPr>
          <w:rFonts w:hint="eastAsia" w:ascii="仿宋" w:hAnsi="仿宋" w:cs="仿宋"/>
          <w:sz w:val="24"/>
          <w:szCs w:val="24"/>
        </w:rPr>
        <w:t>个自然日内通过邮件进行结题确认，逾期未确认的，乙方默认为项目结题。乙方收到甲方的结题确认及尾款后，为甲方提供raw data的数据形式，</w:t>
      </w:r>
      <w:r>
        <w:rPr>
          <w:rFonts w:hint="eastAsia" w:ascii="仿宋" w:hAnsi="仿宋" w:cs="仿宋"/>
          <w:kern w:val="0"/>
          <w:sz w:val="24"/>
          <w:szCs w:val="24"/>
        </w:rPr>
        <w:t>数据将使用云交付。也可由甲方提供硬盘进行数据传输，若甲方借用乙方硬盘进行数据传输，甲方需在10日内将借用硬盘返还乙方公司。</w:t>
      </w:r>
    </w:p>
    <w:p>
      <w:pPr>
        <w:spacing w:before="156" w:beforeLines="50" w:after="156" w:afterLines="50" w:line="360" w:lineRule="auto"/>
        <w:rPr>
          <w:rFonts w:ascii="仿宋" w:hAnsi="仿宋" w:cs="仿宋"/>
          <w:sz w:val="24"/>
          <w:szCs w:val="24"/>
        </w:rPr>
      </w:pPr>
      <w:r>
        <w:rPr>
          <w:rFonts w:hint="eastAsia" w:ascii="仿宋" w:hAnsi="仿宋" w:cs="仿宋"/>
          <w:sz w:val="24"/>
          <w:szCs w:val="24"/>
        </w:rPr>
        <w:t>注：由于样本情况各异，以及生物复杂性，乙方不保证数据分析结果符合甲方生物学意义要求，如需重复实验则另行收费计算。</w:t>
      </w:r>
    </w:p>
    <w:p>
      <w:pPr>
        <w:spacing w:before="156" w:beforeLines="50" w:after="156" w:afterLines="50" w:line="360" w:lineRule="auto"/>
        <w:rPr>
          <w:rFonts w:ascii="仿宋" w:hAnsi="仿宋" w:cs="仿宋"/>
          <w:sz w:val="24"/>
          <w:szCs w:val="24"/>
        </w:rPr>
      </w:pPr>
      <w:r>
        <w:rPr>
          <w:rFonts w:hint="eastAsia" w:ascii="仿宋" w:hAnsi="仿宋" w:cs="仿宋"/>
          <w:b/>
          <w:sz w:val="24"/>
          <w:szCs w:val="24"/>
        </w:rPr>
        <w:t>5.2 咨询服务：</w:t>
      </w:r>
      <w:r>
        <w:rPr>
          <w:rFonts w:hint="eastAsia" w:ascii="仿宋" w:hAnsi="仿宋" w:cs="仿宋"/>
          <w:sz w:val="24"/>
          <w:szCs w:val="24"/>
        </w:rPr>
        <w:t>成果交付之日起</w:t>
      </w:r>
      <w:r>
        <w:rPr>
          <w:rFonts w:hint="eastAsia" w:ascii="仿宋" w:hAnsi="仿宋" w:cs="仿宋"/>
          <w:sz w:val="24"/>
          <w:szCs w:val="24"/>
          <w:u w:val="single"/>
        </w:rPr>
        <w:t>12</w:t>
      </w:r>
      <w:r>
        <w:rPr>
          <w:rFonts w:hint="eastAsia" w:ascii="仿宋" w:hAnsi="仿宋" w:cs="仿宋"/>
          <w:sz w:val="24"/>
          <w:szCs w:val="24"/>
        </w:rPr>
        <w:t>个月内，乙方有义务向甲方提供项目咨询服务，咨询服务标准及方式由乙方决定，超过此期限，乙方有权根据实际技术咨询情况另行计费。</w:t>
      </w:r>
    </w:p>
    <w:p>
      <w:pPr>
        <w:spacing w:before="156" w:beforeLines="50" w:after="156" w:afterLines="50" w:line="360" w:lineRule="auto"/>
        <w:outlineLvl w:val="0"/>
        <w:rPr>
          <w:rFonts w:ascii="仿宋" w:hAnsi="仿宋" w:cs="仿宋"/>
          <w:b/>
          <w:sz w:val="24"/>
          <w:szCs w:val="24"/>
        </w:rPr>
      </w:pPr>
      <w:r>
        <w:rPr>
          <w:rFonts w:hint="eastAsia" w:ascii="仿宋" w:hAnsi="仿宋" w:cs="仿宋"/>
          <w:b/>
          <w:sz w:val="24"/>
          <w:szCs w:val="24"/>
        </w:rPr>
        <w:t>第六条 双方的违约责任：</w:t>
      </w:r>
    </w:p>
    <w:p>
      <w:pPr>
        <w:spacing w:before="156" w:beforeLines="50" w:after="156" w:afterLines="50" w:line="360" w:lineRule="auto"/>
        <w:rPr>
          <w:rFonts w:ascii="仿宋" w:hAnsi="仿宋" w:cs="仿宋"/>
          <w:b/>
          <w:sz w:val="24"/>
          <w:szCs w:val="24"/>
        </w:rPr>
      </w:pPr>
      <w:r>
        <w:rPr>
          <w:rFonts w:hint="eastAsia" w:ascii="仿宋" w:hAnsi="仿宋" w:cs="仿宋"/>
          <w:b/>
          <w:sz w:val="24"/>
          <w:szCs w:val="24"/>
        </w:rPr>
        <w:t>6.1 甲方违约责任：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6.1.1检测与分析工作启动前，如甲方提出终止合同，甲方须在提出终止合同当天向乙方支付合同金额的1‰作为违约金。检测与分析工作启动后，如甲方提出终止合同，则甲方需支付乙方已产生服务的相关费用，乙方有权从甲方已付款项中扣除相关费用，且甲方须在提出终止合同当天向乙方支付合同金额的1‰作为违约金。</w:t>
      </w:r>
    </w:p>
    <w:p>
      <w:pPr>
        <w:spacing w:before="156" w:beforeLines="50" w:after="156" w:afterLines="50" w:line="360" w:lineRule="auto"/>
        <w:rPr>
          <w:rFonts w:ascii="仿宋" w:hAnsi="仿宋" w:cs="仿宋"/>
          <w:sz w:val="24"/>
          <w:szCs w:val="24"/>
        </w:rPr>
      </w:pPr>
      <w:r>
        <w:rPr>
          <w:rFonts w:hint="eastAsia" w:ascii="仿宋" w:hAnsi="仿宋" w:cs="仿宋"/>
          <w:sz w:val="24"/>
          <w:szCs w:val="24"/>
        </w:rPr>
        <w:t>6.1.2检测与分析工作启动后，因甲方提供的样本不符合乙方要求（包括但不限于样本制备不符合本合同要求、达不到后续实验要求、样本污染、样本损坏等）导致合同终止的，甲方应向乙方支付已产生服务的相关费用，乙方有权从甲方已付款项中扣除相关费用。</w:t>
      </w:r>
    </w:p>
    <w:p>
      <w:pPr>
        <w:spacing w:before="156" w:beforeLines="50" w:after="156" w:afterLines="50" w:line="360" w:lineRule="auto"/>
        <w:rPr>
          <w:rFonts w:ascii="仿宋" w:hAnsi="仿宋" w:cs="仿宋"/>
          <w:b/>
          <w:sz w:val="24"/>
          <w:szCs w:val="24"/>
        </w:rPr>
      </w:pPr>
      <w:r>
        <w:rPr>
          <w:rFonts w:hint="eastAsia" w:ascii="仿宋" w:hAnsi="仿宋" w:cs="仿宋"/>
          <w:b/>
          <w:sz w:val="24"/>
          <w:szCs w:val="24"/>
        </w:rPr>
        <w:t>6.2 乙方违约责任：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6.2.1 如因乙方过错导致项目迟延时，乙方应及时与甲方沟通，协商延期方式。</w:t>
      </w:r>
    </w:p>
    <w:p>
      <w:pPr>
        <w:spacing w:before="156" w:beforeLines="50" w:after="156" w:afterLines="50" w:line="360" w:lineRule="auto"/>
        <w:rPr>
          <w:rFonts w:ascii="仿宋" w:hAnsi="仿宋" w:cs="仿宋"/>
          <w:sz w:val="24"/>
          <w:szCs w:val="24"/>
        </w:rPr>
      </w:pPr>
      <w:r>
        <w:rPr>
          <w:rFonts w:hint="eastAsia" w:ascii="仿宋" w:hAnsi="仿宋" w:cs="仿宋"/>
          <w:sz w:val="24"/>
          <w:szCs w:val="24"/>
        </w:rPr>
        <w:t>6.2.2 检测与分析工作启动后，若样本检测合格，实验意外失败，乙方应为甲方继续进行重复试验，不另计技术服务费用，直到达到本合同第2.2条约定的要求，并在周期内进行项目结题。若甲方不能继续提供样本，则甲方可以将已付款项转入下一次服务。乙方不承担由此导致的其他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6.2.3 除本合同另有约定，如因乙方过错导致其未按照合同约定交付成果时，乙方应向甲方支付合同金额的1‰作为违约金。</w:t>
      </w:r>
    </w:p>
    <w:p>
      <w:pPr>
        <w:spacing w:before="156" w:beforeLines="50" w:after="156" w:afterLines="50" w:line="360" w:lineRule="auto"/>
        <w:outlineLvl w:val="0"/>
        <w:rPr>
          <w:rFonts w:ascii="仿宋" w:hAnsi="仿宋" w:cs="仿宋"/>
          <w:b/>
          <w:sz w:val="24"/>
          <w:szCs w:val="24"/>
        </w:rPr>
      </w:pPr>
      <w:r>
        <w:rPr>
          <w:rFonts w:hint="eastAsia" w:ascii="仿宋" w:hAnsi="仿宋" w:cs="仿宋"/>
          <w:b/>
          <w:sz w:val="24"/>
          <w:szCs w:val="24"/>
        </w:rPr>
        <w:t>第七条 通用条款</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7.1 如因不可抗力、技术障碍导致的项目延误时，双方均不承担责任。不可抗力是指无法预见、无法避免、无法克服的客观情况，包括自然灾害、军事行动、工人罢工、暴乱、法律法规强制规定、政府政策限制。</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7.2 如因样本本身的个体差异造成的数据离群，乙方不承担责任。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7.3 本合同的变更必须由双方协商一致，并另行签订书面的补充协议。</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7.4 双方确定，在本合同有效期内，一方变更项目联系人的，应当及时以书面形式通知另一方。未及时通知并影响本合同履行或造成损失的，未及时通知的一方应承担相应的责任。</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7.5 双方确定，因发生不可抗力或技术障碍致使本合同的履行成为不必要或不可能时一方可以通知另一方解除本合同。</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7.6 甲方提供的工作条件、样本等材料不符合乙方要求，经乙方提示后仍不能提供时，乙方有权单独解除合同。</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7.7 合同解除后，甲方需按照乙方实际已完成的工作量支付费用，乙方有权从甲方已付款项中扣除相应费用。</w:t>
      </w:r>
    </w:p>
    <w:p>
      <w:pPr>
        <w:spacing w:before="156" w:beforeLines="50" w:after="156" w:afterLines="50" w:line="360" w:lineRule="auto"/>
        <w:rPr>
          <w:rFonts w:ascii="仿宋" w:hAnsi="仿宋" w:cs="仿宋"/>
          <w:sz w:val="24"/>
          <w:szCs w:val="24"/>
        </w:rPr>
      </w:pPr>
      <w:r>
        <w:rPr>
          <w:rFonts w:hint="eastAsia" w:ascii="仿宋" w:hAnsi="仿宋" w:cs="仿宋"/>
          <w:sz w:val="24"/>
          <w:szCs w:val="24"/>
        </w:rPr>
        <w:t>7.8 双方因履行本合同而发生的争议，应协商、调解解决。协商、调解不成的，应向甲方住所地人民法院起诉。</w:t>
      </w:r>
    </w:p>
    <w:p>
      <w:pPr>
        <w:spacing w:before="156" w:beforeLines="50" w:after="156" w:afterLines="50" w:line="360" w:lineRule="auto"/>
        <w:rPr>
          <w:rFonts w:ascii="仿宋" w:hAnsi="仿宋" w:cs="仿宋"/>
          <w:sz w:val="24"/>
          <w:szCs w:val="24"/>
        </w:rPr>
      </w:pPr>
      <w:r>
        <w:rPr>
          <w:rFonts w:hint="eastAsia" w:ascii="仿宋" w:hAnsi="仿宋" w:cs="仿宋"/>
          <w:b/>
          <w:sz w:val="24"/>
          <w:szCs w:val="24"/>
        </w:rPr>
        <w:t xml:space="preserve">第八条 </w:t>
      </w:r>
      <w:r>
        <w:rPr>
          <w:rFonts w:hint="eastAsia" w:ascii="仿宋" w:hAnsi="仿宋" w:cs="仿宋"/>
          <w:sz w:val="24"/>
          <w:szCs w:val="24"/>
        </w:rPr>
        <w:t>本合同一式六份，甲方五份，乙方一份，签字</w:t>
      </w:r>
      <w:r>
        <w:rPr>
          <w:rFonts w:ascii="仿宋" w:hAnsi="仿宋" w:cs="仿宋"/>
          <w:sz w:val="24"/>
          <w:szCs w:val="24"/>
        </w:rPr>
        <w:t>或</w:t>
      </w:r>
      <w:r>
        <w:rPr>
          <w:rFonts w:hint="eastAsia" w:ascii="仿宋" w:hAnsi="仿宋" w:cs="仿宋"/>
          <w:sz w:val="24"/>
          <w:szCs w:val="24"/>
        </w:rPr>
        <w:t>盖章后生效，具有同等法律效力。</w:t>
      </w:r>
    </w:p>
    <w:p>
      <w:bookmarkStart w:id="3" w:name="_Hlk119916629"/>
    </w:p>
    <w:tbl>
      <w:tblPr>
        <w:tblStyle w:val="6"/>
        <w:tblW w:w="9700" w:type="dxa"/>
        <w:jc w:val="center"/>
        <w:tblLayout w:type="fixed"/>
        <w:tblCellMar>
          <w:top w:w="0" w:type="dxa"/>
          <w:left w:w="108" w:type="dxa"/>
          <w:bottom w:w="0" w:type="dxa"/>
          <w:right w:w="108" w:type="dxa"/>
        </w:tblCellMar>
      </w:tblPr>
      <w:tblGrid>
        <w:gridCol w:w="1259"/>
        <w:gridCol w:w="3335"/>
        <w:gridCol w:w="1226"/>
        <w:gridCol w:w="3880"/>
      </w:tblGrid>
      <w:tr>
        <w:tblPrEx>
          <w:tblCellMar>
            <w:top w:w="0" w:type="dxa"/>
            <w:left w:w="108" w:type="dxa"/>
            <w:bottom w:w="0" w:type="dxa"/>
            <w:right w:w="108" w:type="dxa"/>
          </w:tblCellMar>
        </w:tblPrEx>
        <w:trPr>
          <w:trHeight w:val="837" w:hRule="atLeast"/>
          <w:jc w:val="center"/>
        </w:trPr>
        <w:tc>
          <w:tcPr>
            <w:tcW w:w="1259" w:type="dxa"/>
            <w:shd w:val="clear" w:color="auto" w:fill="auto"/>
            <w:vAlign w:val="bottom"/>
          </w:tcPr>
          <w:p>
            <w:pPr>
              <w:rPr>
                <w:rFonts w:ascii="宋体" w:hAnsi="宋体" w:cs="宋体"/>
                <w:sz w:val="28"/>
                <w:szCs w:val="28"/>
              </w:rPr>
            </w:pPr>
            <w:r>
              <w:rPr>
                <w:rFonts w:hint="eastAsia" w:ascii="宋体" w:hAnsi="宋体" w:cs="宋体"/>
                <w:sz w:val="28"/>
                <w:szCs w:val="28"/>
              </w:rPr>
              <w:t>甲方：</w:t>
            </w:r>
          </w:p>
        </w:tc>
        <w:tc>
          <w:tcPr>
            <w:tcW w:w="3335" w:type="dxa"/>
            <w:shd w:val="clear" w:color="auto" w:fill="auto"/>
            <w:vAlign w:val="bottom"/>
          </w:tcPr>
          <w:p>
            <w:pPr>
              <w:rPr>
                <w:rFonts w:ascii="宋体" w:hAnsi="宋体" w:cs="宋体"/>
                <w:sz w:val="28"/>
                <w:szCs w:val="28"/>
              </w:rPr>
            </w:pPr>
            <w:r>
              <w:rPr>
                <w:rFonts w:hint="eastAsia" w:ascii="宋体" w:hAnsi="宋体" w:cs="宋体"/>
                <w:sz w:val="28"/>
                <w:szCs w:val="28"/>
              </w:rPr>
              <w:t>北京市结核病胸部肿瘤研究所</w:t>
            </w:r>
          </w:p>
        </w:tc>
        <w:tc>
          <w:tcPr>
            <w:tcW w:w="1226" w:type="dxa"/>
            <w:shd w:val="clear" w:color="auto" w:fill="auto"/>
            <w:vAlign w:val="bottom"/>
          </w:tcPr>
          <w:p>
            <w:pPr>
              <w:rPr>
                <w:rFonts w:ascii="宋体" w:hAnsi="宋体" w:cs="宋体"/>
                <w:sz w:val="28"/>
                <w:szCs w:val="28"/>
              </w:rPr>
            </w:pPr>
            <w:r>
              <w:rPr>
                <w:rFonts w:hint="eastAsia" w:ascii="宋体" w:hAnsi="宋体" w:cs="宋体"/>
                <w:sz w:val="28"/>
                <w:szCs w:val="28"/>
              </w:rPr>
              <w:t>乙方：</w:t>
            </w:r>
          </w:p>
        </w:tc>
        <w:tc>
          <w:tcPr>
            <w:tcW w:w="3880" w:type="dxa"/>
            <w:shd w:val="clear" w:color="auto" w:fill="auto"/>
            <w:vAlign w:val="bottom"/>
          </w:tcPr>
          <w:p>
            <w:pPr>
              <w:rPr>
                <w:rFonts w:ascii="宋体" w:hAnsi="宋体" w:cs="宋体"/>
                <w:sz w:val="28"/>
                <w:szCs w:val="28"/>
              </w:rPr>
            </w:pPr>
          </w:p>
        </w:tc>
      </w:tr>
      <w:tr>
        <w:tblPrEx>
          <w:tblCellMar>
            <w:top w:w="0" w:type="dxa"/>
            <w:left w:w="108" w:type="dxa"/>
            <w:bottom w:w="0" w:type="dxa"/>
            <w:right w:w="108" w:type="dxa"/>
          </w:tblCellMar>
        </w:tblPrEx>
        <w:trPr>
          <w:trHeight w:val="699" w:hRule="atLeast"/>
          <w:jc w:val="center"/>
        </w:trPr>
        <w:tc>
          <w:tcPr>
            <w:tcW w:w="1259" w:type="dxa"/>
            <w:shd w:val="clear" w:color="auto" w:fill="auto"/>
            <w:vAlign w:val="bottom"/>
          </w:tcPr>
          <w:p>
            <w:pPr>
              <w:rPr>
                <w:rFonts w:ascii="宋体" w:hAnsi="宋体" w:cs="宋体"/>
                <w:sz w:val="28"/>
                <w:szCs w:val="28"/>
              </w:rPr>
            </w:pPr>
            <w:r>
              <w:rPr>
                <w:rFonts w:hint="eastAsia" w:ascii="宋体" w:hAnsi="宋体" w:cs="宋体"/>
                <w:sz w:val="28"/>
                <w:szCs w:val="28"/>
              </w:rPr>
              <w:t>（盖章）</w:t>
            </w:r>
          </w:p>
        </w:tc>
        <w:tc>
          <w:tcPr>
            <w:tcW w:w="3335" w:type="dxa"/>
            <w:shd w:val="clear" w:color="auto" w:fill="auto"/>
            <w:vAlign w:val="bottom"/>
          </w:tcPr>
          <w:p>
            <w:pPr>
              <w:rPr>
                <w:rFonts w:ascii="宋体" w:hAnsi="宋体" w:cs="宋体"/>
                <w:sz w:val="28"/>
                <w:szCs w:val="28"/>
              </w:rPr>
            </w:pPr>
          </w:p>
        </w:tc>
        <w:tc>
          <w:tcPr>
            <w:tcW w:w="1226" w:type="dxa"/>
            <w:shd w:val="clear" w:color="auto" w:fill="auto"/>
            <w:vAlign w:val="bottom"/>
          </w:tcPr>
          <w:p>
            <w:pPr>
              <w:rPr>
                <w:rFonts w:ascii="宋体" w:hAnsi="宋体" w:cs="宋体"/>
                <w:sz w:val="28"/>
                <w:szCs w:val="28"/>
              </w:rPr>
            </w:pPr>
            <w:r>
              <w:rPr>
                <w:rFonts w:hint="eastAsia" w:ascii="宋体" w:hAnsi="宋体" w:cs="宋体"/>
                <w:sz w:val="28"/>
                <w:szCs w:val="28"/>
              </w:rPr>
              <w:t>（盖章）</w:t>
            </w:r>
          </w:p>
        </w:tc>
        <w:tc>
          <w:tcPr>
            <w:tcW w:w="3880" w:type="dxa"/>
            <w:shd w:val="clear" w:color="auto" w:fill="auto"/>
            <w:vAlign w:val="bottom"/>
          </w:tcPr>
          <w:p>
            <w:pPr>
              <w:rPr>
                <w:rFonts w:ascii="宋体" w:hAnsi="宋体" w:cs="宋体"/>
                <w:sz w:val="28"/>
                <w:szCs w:val="28"/>
              </w:rPr>
            </w:pPr>
          </w:p>
        </w:tc>
      </w:tr>
      <w:tr>
        <w:tblPrEx>
          <w:tblCellMar>
            <w:top w:w="0" w:type="dxa"/>
            <w:left w:w="108" w:type="dxa"/>
            <w:bottom w:w="0" w:type="dxa"/>
            <w:right w:w="108" w:type="dxa"/>
          </w:tblCellMar>
        </w:tblPrEx>
        <w:trPr>
          <w:trHeight w:val="721" w:hRule="atLeast"/>
          <w:jc w:val="center"/>
        </w:trPr>
        <w:tc>
          <w:tcPr>
            <w:tcW w:w="4594" w:type="dxa"/>
            <w:gridSpan w:val="2"/>
            <w:shd w:val="clear" w:color="auto" w:fill="auto"/>
            <w:vAlign w:val="bottom"/>
          </w:tcPr>
          <w:p>
            <w:pPr>
              <w:rPr>
                <w:rFonts w:ascii="宋体" w:hAnsi="宋体" w:cs="宋体"/>
                <w:sz w:val="28"/>
                <w:szCs w:val="28"/>
              </w:rPr>
            </w:pPr>
            <w:r>
              <w:rPr>
                <w:rFonts w:hint="eastAsia" w:ascii="宋体" w:hAnsi="宋体" w:cs="宋体"/>
                <w:sz w:val="28"/>
                <w:szCs w:val="28"/>
              </w:rPr>
              <w:t>法</w:t>
            </w:r>
            <w:r>
              <w:rPr>
                <w:rFonts w:ascii="宋体" w:hAnsi="宋体" w:cs="宋体"/>
                <w:sz w:val="28"/>
                <w:szCs w:val="28"/>
              </w:rPr>
              <w:t>定代表</w:t>
            </w:r>
            <w:r>
              <w:rPr>
                <w:rFonts w:hint="eastAsia" w:ascii="宋体" w:hAnsi="宋体" w:cs="宋体"/>
                <w:sz w:val="28"/>
                <w:szCs w:val="28"/>
              </w:rPr>
              <w:t>人/委托代理人：</w:t>
            </w:r>
          </w:p>
        </w:tc>
        <w:tc>
          <w:tcPr>
            <w:tcW w:w="5106" w:type="dxa"/>
            <w:gridSpan w:val="2"/>
            <w:shd w:val="clear" w:color="auto" w:fill="auto"/>
            <w:vAlign w:val="bottom"/>
          </w:tcPr>
          <w:p>
            <w:pPr>
              <w:rPr>
                <w:rFonts w:ascii="宋体" w:hAnsi="宋体" w:cs="宋体"/>
                <w:sz w:val="28"/>
                <w:szCs w:val="28"/>
              </w:rPr>
            </w:pPr>
            <w:r>
              <w:rPr>
                <w:rFonts w:hint="eastAsia" w:ascii="宋体" w:hAnsi="宋体" w:cs="宋体"/>
                <w:sz w:val="28"/>
                <w:szCs w:val="28"/>
              </w:rPr>
              <w:t>法</w:t>
            </w:r>
            <w:r>
              <w:rPr>
                <w:rFonts w:ascii="宋体" w:hAnsi="宋体" w:cs="宋体"/>
                <w:sz w:val="28"/>
                <w:szCs w:val="28"/>
              </w:rPr>
              <w:t>定代表</w:t>
            </w:r>
            <w:r>
              <w:rPr>
                <w:rFonts w:hint="eastAsia" w:ascii="宋体" w:hAnsi="宋体" w:cs="宋体"/>
                <w:sz w:val="28"/>
                <w:szCs w:val="28"/>
              </w:rPr>
              <w:t>人/委托代理人：</w:t>
            </w:r>
          </w:p>
        </w:tc>
      </w:tr>
      <w:bookmarkEnd w:id="3"/>
      <w:tr>
        <w:tblPrEx>
          <w:tblCellMar>
            <w:top w:w="0" w:type="dxa"/>
            <w:left w:w="108" w:type="dxa"/>
            <w:bottom w:w="0" w:type="dxa"/>
            <w:right w:w="108" w:type="dxa"/>
          </w:tblCellMar>
        </w:tblPrEx>
        <w:trPr>
          <w:trHeight w:val="699" w:hRule="atLeast"/>
          <w:jc w:val="center"/>
        </w:trPr>
        <w:tc>
          <w:tcPr>
            <w:tcW w:w="1259" w:type="dxa"/>
            <w:shd w:val="clear" w:color="auto" w:fill="auto"/>
            <w:vAlign w:val="bottom"/>
          </w:tcPr>
          <w:p>
            <w:pPr>
              <w:rPr>
                <w:rFonts w:ascii="宋体" w:hAnsi="宋体" w:cs="宋体"/>
                <w:sz w:val="28"/>
                <w:szCs w:val="28"/>
              </w:rPr>
            </w:pPr>
            <w:r>
              <w:rPr>
                <w:rFonts w:hint="eastAsia" w:ascii="宋体" w:hAnsi="宋体" w:cs="宋体"/>
                <w:sz w:val="28"/>
                <w:szCs w:val="28"/>
              </w:rPr>
              <w:t>（签名）</w:t>
            </w:r>
          </w:p>
        </w:tc>
        <w:tc>
          <w:tcPr>
            <w:tcW w:w="3335" w:type="dxa"/>
            <w:shd w:val="clear" w:color="auto" w:fill="auto"/>
            <w:vAlign w:val="bottom"/>
          </w:tcPr>
          <w:p>
            <w:pPr>
              <w:rPr>
                <w:rFonts w:ascii="宋体" w:hAnsi="宋体" w:cs="宋体"/>
                <w:sz w:val="28"/>
                <w:szCs w:val="28"/>
              </w:rPr>
            </w:pPr>
          </w:p>
        </w:tc>
        <w:tc>
          <w:tcPr>
            <w:tcW w:w="1226" w:type="dxa"/>
            <w:shd w:val="clear" w:color="auto" w:fill="auto"/>
            <w:vAlign w:val="bottom"/>
          </w:tcPr>
          <w:p>
            <w:pPr>
              <w:rPr>
                <w:rFonts w:ascii="宋体" w:hAnsi="宋体" w:cs="宋体"/>
                <w:sz w:val="28"/>
                <w:szCs w:val="28"/>
              </w:rPr>
            </w:pPr>
            <w:r>
              <w:rPr>
                <w:rFonts w:hint="eastAsia" w:ascii="宋体" w:hAnsi="宋体" w:cs="宋体"/>
                <w:sz w:val="28"/>
                <w:szCs w:val="28"/>
              </w:rPr>
              <w:t>（签名）</w:t>
            </w:r>
          </w:p>
        </w:tc>
        <w:tc>
          <w:tcPr>
            <w:tcW w:w="3880" w:type="dxa"/>
            <w:shd w:val="clear" w:color="auto" w:fill="auto"/>
            <w:vAlign w:val="bottom"/>
          </w:tcPr>
          <w:p>
            <w:pPr>
              <w:rPr>
                <w:rFonts w:ascii="宋体" w:hAnsi="宋体" w:cs="宋体"/>
                <w:sz w:val="28"/>
                <w:szCs w:val="28"/>
              </w:rPr>
            </w:pPr>
          </w:p>
        </w:tc>
      </w:tr>
      <w:tr>
        <w:tblPrEx>
          <w:tblCellMar>
            <w:top w:w="0" w:type="dxa"/>
            <w:left w:w="108" w:type="dxa"/>
            <w:bottom w:w="0" w:type="dxa"/>
            <w:right w:w="108" w:type="dxa"/>
          </w:tblCellMar>
        </w:tblPrEx>
        <w:trPr>
          <w:trHeight w:val="760" w:hRule="atLeast"/>
          <w:jc w:val="center"/>
        </w:trPr>
        <w:tc>
          <w:tcPr>
            <w:tcW w:w="4594" w:type="dxa"/>
            <w:gridSpan w:val="2"/>
            <w:shd w:val="clear" w:color="auto" w:fill="auto"/>
            <w:vAlign w:val="bottom"/>
          </w:tcPr>
          <w:p>
            <w:pPr>
              <w:rPr>
                <w:rFonts w:ascii="宋体" w:hAnsi="宋体" w:cs="宋体"/>
                <w:sz w:val="28"/>
                <w:szCs w:val="28"/>
              </w:rPr>
            </w:pPr>
            <w:r>
              <w:rPr>
                <w:rFonts w:hint="eastAsia" w:ascii="宋体" w:hAnsi="宋体" w:cs="宋体"/>
                <w:sz w:val="28"/>
                <w:szCs w:val="28"/>
              </w:rPr>
              <w:t xml:space="preserve">       年      月      日</w:t>
            </w:r>
          </w:p>
        </w:tc>
        <w:tc>
          <w:tcPr>
            <w:tcW w:w="5106" w:type="dxa"/>
            <w:gridSpan w:val="2"/>
            <w:shd w:val="clear" w:color="auto" w:fill="auto"/>
            <w:vAlign w:val="bottom"/>
          </w:tcPr>
          <w:p>
            <w:pPr>
              <w:rPr>
                <w:rFonts w:ascii="宋体" w:hAnsi="宋体" w:cs="宋体"/>
                <w:sz w:val="28"/>
                <w:szCs w:val="28"/>
              </w:rPr>
            </w:pPr>
            <w:r>
              <w:rPr>
                <w:rFonts w:hint="eastAsia" w:ascii="宋体" w:hAnsi="宋体" w:cs="宋体"/>
                <w:sz w:val="28"/>
                <w:szCs w:val="28"/>
              </w:rPr>
              <w:t xml:space="preserve">       年       月      日</w:t>
            </w:r>
          </w:p>
        </w:tc>
      </w:tr>
    </w:tbl>
    <w:p>
      <w:pPr>
        <w:rPr>
          <w:sz w:val="52"/>
          <w:szCs w:val="52"/>
        </w:rPr>
      </w:pPr>
    </w:p>
    <w:p>
      <w:pPr>
        <w:pStyle w:val="3"/>
        <w:rPr>
          <w:rFonts w:hint="eastAsia"/>
        </w:rPr>
      </w:pPr>
    </w:p>
    <w:p/>
    <w:sectPr>
      <w:pgSz w:w="11906" w:h="16838"/>
      <w:pgMar w:top="1134" w:right="1474" w:bottom="113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3040</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36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36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344C7"/>
    <w:multiLevelType w:val="multilevel"/>
    <w:tmpl w:val="026344C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0471EB"/>
    <w:multiLevelType w:val="multilevel"/>
    <w:tmpl w:val="3A0471E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00000"/>
    <w:rsid w:val="47CA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after="120" w:line="480" w:lineRule="auto"/>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styleId="9">
    <w:name w:val="List Paragraph"/>
    <w:basedOn w:val="1"/>
    <w:autoRedefine/>
    <w:qFormat/>
    <w:uiPriority w:val="34"/>
    <w:pPr>
      <w:ind w:firstLine="640" w:firstLineChars="200"/>
    </w:pPr>
    <w:rPr>
      <w:rFonts w:ascii="黑体" w:hAnsi="黑体" w:eastAsia="黑体" w:cs="Times New Roman"/>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2024-05-06T00:47:31Z</dcterms:created>
  <dc:creator>admin</dc:creator>
  <cp:lastModifiedBy>张 志 明.</cp:lastModifiedBy>
  <dcterms:modified xsi:type="dcterms:W3CDTF">2024-05-06T00:48:14Z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3AD6DA99E1254CFC80F392B0FD7D8F88_12</vt:lpwstr>
  </property>
</Properties>
</file>