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</w:pPr>
      <w:r>
        <w:rPr>
          <w:rFonts w:hint="eastAsia"/>
          <w:lang w:val="en-US" w:eastAsia="zh-CN"/>
        </w:rPr>
        <w:t>一、</w:t>
      </w:r>
      <w:r>
        <w:t>服务范围：</w:t>
      </w:r>
    </w:p>
    <w:p>
      <w:pPr>
        <w:pStyle w:val="7"/>
      </w:pPr>
      <w:r>
        <w:rPr>
          <w:rFonts w:ascii="Times New Roman" w:hAnsi="Times New Roman" w:eastAsia="宋体"/>
        </w:rPr>
        <w:t>完成2种化合物或单分子药作用结核分枝杆菌样本的TPP热蛋白组学检测分析，采用基于高分辨液质联用质谱仪平台，结合TMT标记定量蛋白组学技术对药物共孵育结核分枝杆菌进行TPP热蛋白组学检测，项目周期20个工作日</w:t>
      </w:r>
      <w:r>
        <w:t>。</w:t>
      </w:r>
    </w:p>
    <w:p>
      <w:pPr>
        <w:pStyle w:val="7"/>
      </w:pPr>
      <w:r>
        <w:rPr>
          <w:rFonts w:hint="eastAsia"/>
          <w:lang w:val="en-US" w:eastAsia="zh-CN"/>
        </w:rPr>
        <w:t>二、</w:t>
      </w:r>
      <w:r>
        <w:t>主要技术参数要求</w:t>
      </w:r>
    </w:p>
    <w:p>
      <w:pPr>
        <w:pStyle w:val="7"/>
      </w:pPr>
      <w:r>
        <w:t>1、样本要求</w:t>
      </w:r>
    </w:p>
    <w:p>
      <w:pPr>
        <w:pStyle w:val="7"/>
        <w:rPr>
          <w:rFonts w:ascii="宋体" w:hAnsi="宋体" w:eastAsia="宋体"/>
        </w:rPr>
      </w:pPr>
      <w:r>
        <w:rPr>
          <w:rFonts w:hint="eastAsia" w:ascii="Times New Roman" w:hAnsi="Times New Roman" w:eastAsia="宋体"/>
          <w:lang w:val="en-US" w:eastAsia="zh-CN"/>
        </w:rPr>
        <w:t>1）</w:t>
      </w:r>
      <w:r>
        <w:rPr>
          <w:rFonts w:ascii="Times New Roman" w:hAnsi="Times New Roman" w:eastAsia="宋体"/>
        </w:rPr>
        <w:t>蛋白：为全菌蛋白，提取后用0.22μm微孔滤膜过滤获得；蛋白总量≤500 ug（单温度处理≤50 ug）</w:t>
      </w:r>
      <w:r>
        <w:rPr>
          <w:rFonts w:ascii="宋体" w:hAnsi="宋体" w:eastAsia="宋体"/>
        </w:rPr>
        <w:t>；</w:t>
      </w:r>
    </w:p>
    <w:p>
      <w:pPr>
        <w:pStyle w:val="7"/>
      </w:pPr>
      <w:r>
        <w:t>2、检测方法要求</w:t>
      </w:r>
    </w:p>
    <w:p>
      <w:pPr>
        <w:pStyle w:val="7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/>
          <w:lang w:val="en-US" w:eastAsia="zh-CN"/>
        </w:rPr>
        <w:t>2</w:t>
      </w:r>
      <w:r>
        <w:rPr>
          <w:rFonts w:ascii="Times New Roman" w:hAnsi="Times New Roman" w:eastAsia="宋体"/>
        </w:rPr>
        <w:t>）使用高分辨液质联用质谱仪（品牌：赛默飞；型号：Q Exactive HF-X）采集；基于TMT标记定量蛋白组学技术进行检测。</w:t>
      </w:r>
    </w:p>
    <w:p>
      <w:pPr>
        <w:pStyle w:val="7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/>
          <w:lang w:val="en-US" w:eastAsia="zh-CN"/>
        </w:rPr>
        <w:t>3</w:t>
      </w:r>
      <w:r>
        <w:rPr>
          <w:rFonts w:ascii="Times New Roman" w:hAnsi="Times New Roman" w:eastAsia="宋体"/>
        </w:rPr>
        <w:t>）需要针对提供的蛋白溶液进行药物共孵育及至少10个温度梯度的温度处理，同时每个药物的变温温度点须有对应的对照组及2个重复，即一个药物至少有40组样品。</w:t>
      </w:r>
    </w:p>
    <w:p>
      <w:pPr>
        <w:pStyle w:val="7"/>
      </w:pPr>
      <w:r>
        <w:rPr>
          <w:rFonts w:hint="eastAsia" w:ascii="Times New Roman" w:hAnsi="Times New Roman" w:eastAsia="宋体"/>
          <w:lang w:val="en-US" w:eastAsia="zh-CN"/>
        </w:rPr>
        <w:t>4</w:t>
      </w:r>
      <w:r>
        <w:rPr>
          <w:rFonts w:ascii="Times New Roman" w:hAnsi="Times New Roman" w:eastAsia="宋体"/>
        </w:rPr>
        <w:t>) 针对用于TPP实验的样本，首先经过温度梯度处理（10个温度梯度）后进行离心，得到上清蛋白，随后进行TMT标记。标记完成后的样本进行混合分馏，然后利用胰酶进行全酶切。得到的酶切片段通过LC-MS/MS进行质谱检测，随后对下机的质谱数据进行搜库（搜库软件：Proteome Discovery 3.1）、数据处理，并基于蛋白的热稳定性进行差异和功能分析</w:t>
      </w:r>
      <w:r>
        <w:t>。</w:t>
      </w:r>
    </w:p>
    <w:p>
      <w:pPr>
        <w:pStyle w:val="7"/>
      </w:pPr>
      <w:r>
        <w:t>3、数据分析要求</w:t>
      </w:r>
    </w:p>
    <w:p>
      <w:pPr>
        <w:pStyle w:val="7"/>
      </w:pPr>
      <w:r>
        <w:t>3.1质量控制：</w:t>
      </w:r>
    </w:p>
    <w:p>
      <w:pPr>
        <w:pStyle w:val="7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/>
          <w:lang w:val="en-US" w:eastAsia="zh-CN"/>
        </w:rPr>
        <w:t>5</w:t>
      </w:r>
      <w:r>
        <w:rPr>
          <w:rFonts w:ascii="Times New Roman" w:hAnsi="Times New Roman" w:eastAsia="宋体"/>
        </w:rPr>
        <w:t>）整体数据质量偏差统计；</w:t>
      </w:r>
    </w:p>
    <w:p>
      <w:pPr>
        <w:pStyle w:val="7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/>
          <w:lang w:val="en-US" w:eastAsia="zh-CN"/>
        </w:rPr>
        <w:t>6</w:t>
      </w:r>
      <w:r>
        <w:rPr>
          <w:rFonts w:ascii="Times New Roman" w:hAnsi="Times New Roman" w:eastAsia="宋体"/>
        </w:rPr>
        <w:t>）肽段数据的评估和统计：鉴定肽段序列长度分布、每个肽段PSM数目分布、肽段漏切位点数分布；</w:t>
      </w:r>
    </w:p>
    <w:p>
      <w:pPr>
        <w:pStyle w:val="7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/>
          <w:lang w:val="en-US" w:eastAsia="zh-CN"/>
        </w:rPr>
        <w:t>7</w:t>
      </w:r>
      <w:r>
        <w:rPr>
          <w:rFonts w:ascii="Times New Roman" w:hAnsi="Times New Roman" w:eastAsia="宋体"/>
        </w:rPr>
        <w:t>）蛋白数据评估和统计：蛋白匹配肽段数分布、蛋白匹配PSM数目分布、蛋白分子量分布、蛋白序列覆盖度分布、蛋白等电点分布、蛋白等电点与分子量分布</w:t>
      </w:r>
    </w:p>
    <w:p>
      <w:pPr>
        <w:pStyle w:val="7"/>
      </w:pPr>
      <w:r>
        <w:t xml:space="preserve">3.2 </w:t>
      </w:r>
      <w:r>
        <w:rPr>
          <w:rFonts w:hint="eastAsia"/>
          <w:lang w:val="en-US" w:eastAsia="zh-CN"/>
        </w:rPr>
        <w:t>8）</w:t>
      </w:r>
      <w:r>
        <w:t>样本相关性分析</w:t>
      </w:r>
    </w:p>
    <w:p>
      <w:pPr>
        <w:pStyle w:val="7"/>
      </w:pPr>
      <w:r>
        <w:t xml:space="preserve">3.3 </w:t>
      </w:r>
      <w:r>
        <w:rPr>
          <w:rFonts w:hint="eastAsia"/>
          <w:lang w:val="en-US" w:eastAsia="zh-CN"/>
        </w:rPr>
        <w:t>9）</w:t>
      </w:r>
      <w:r>
        <w:t>温度处理对蛋白丰度影响趋势分析</w:t>
      </w:r>
    </w:p>
    <w:p>
      <w:pPr>
        <w:pStyle w:val="7"/>
      </w:pPr>
      <w:r>
        <w:t xml:space="preserve">3.4 </w:t>
      </w:r>
      <w:r>
        <w:rPr>
          <w:rFonts w:hint="eastAsia"/>
          <w:lang w:val="en-US" w:eastAsia="zh-CN"/>
        </w:rPr>
        <w:t>10）</w:t>
      </w:r>
      <w:r>
        <w:t>蛋白Tm值分布情况分析</w:t>
      </w:r>
    </w:p>
    <w:p>
      <w:pPr>
        <w:pStyle w:val="7"/>
      </w:pPr>
      <w:r>
        <w:t>3.5 差异蛋白筛选</w:t>
      </w:r>
    </w:p>
    <w:p>
      <w:pPr>
        <w:pStyle w:val="7"/>
        <w:rPr>
          <w:rFonts w:ascii="Times New Roman" w:hAnsi="Times New Roman" w:eastAsia="宋体"/>
        </w:rPr>
      </w:pPr>
      <w:r>
        <w:rPr>
          <w:rFonts w:ascii="Times New Roman" w:hAnsi="Times New Roman" w:eastAsia="宋体"/>
        </w:rPr>
        <w:t>1</w:t>
      </w:r>
      <w:r>
        <w:rPr>
          <w:rFonts w:hint="eastAsia" w:ascii="Times New Roman" w:hAnsi="Times New Roman" w:eastAsia="宋体"/>
          <w:lang w:val="en-US" w:eastAsia="zh-CN"/>
        </w:rPr>
        <w:t>1</w:t>
      </w:r>
      <w:r>
        <w:rPr>
          <w:rFonts w:ascii="Times New Roman" w:hAnsi="Times New Roman" w:eastAsia="宋体"/>
        </w:rPr>
        <w:t>）热熔曲线绘制</w:t>
      </w:r>
    </w:p>
    <w:p>
      <w:pPr>
        <w:pStyle w:val="7"/>
      </w:pPr>
      <w:r>
        <w:rPr>
          <w:rFonts w:hint="eastAsia" w:ascii="Times New Roman" w:hAnsi="Times New Roman" w:eastAsia="宋体"/>
          <w:lang w:val="en-US" w:eastAsia="zh-CN"/>
        </w:rPr>
        <w:t>1</w:t>
      </w:r>
      <w:r>
        <w:rPr>
          <w:rFonts w:ascii="Times New Roman" w:hAnsi="Times New Roman" w:eastAsia="宋体"/>
        </w:rPr>
        <w:t>2）热稳定性差异蛋白分析：差异蛋白火山图分析、差异蛋白热图分析、差异蛋白热熔曲线分析、差异蛋白Tm值散点图分析</w:t>
      </w:r>
      <w:r>
        <w:t xml:space="preserve"> </w:t>
      </w:r>
    </w:p>
    <w:p>
      <w:pPr>
        <w:pStyle w:val="7"/>
      </w:pPr>
      <w:r>
        <w:t>3.6 差异蛋白功能分析</w:t>
      </w:r>
    </w:p>
    <w:p>
      <w:pPr>
        <w:pStyle w:val="7"/>
      </w:pPr>
      <w:r>
        <w:t>1</w:t>
      </w:r>
      <w:r>
        <w:rPr>
          <w:rFonts w:hint="eastAsia"/>
          <w:lang w:val="en-US" w:eastAsia="zh-CN"/>
        </w:rPr>
        <w:t>3</w:t>
      </w:r>
      <w:r>
        <w:t>）GO富集分析</w:t>
      </w:r>
    </w:p>
    <w:p>
      <w:pPr>
        <w:pStyle w:val="7"/>
      </w:pPr>
      <w:r>
        <w:rPr>
          <w:rFonts w:hint="eastAsia"/>
          <w:lang w:val="en-US" w:eastAsia="zh-CN"/>
        </w:rPr>
        <w:t>14</w:t>
      </w:r>
      <w:r>
        <w:t>）KEGG富集分析</w:t>
      </w:r>
    </w:p>
    <w:p>
      <w:pPr>
        <w:pStyle w:val="7"/>
      </w:pPr>
      <w:r>
        <w:rPr>
          <w:rFonts w:hint="eastAsia"/>
          <w:lang w:val="en-US" w:eastAsia="zh-CN"/>
        </w:rPr>
        <w:t>15</w:t>
      </w:r>
      <w:bookmarkStart w:id="0" w:name="_GoBack"/>
      <w:bookmarkEnd w:id="0"/>
      <w:r>
        <w:t>）PPI蛋白互作分析</w:t>
      </w:r>
    </w:p>
    <w:p>
      <w:pPr>
        <w:pStyle w:val="7"/>
        <w:rPr>
          <w:rFonts w:hint="eastAsia"/>
          <w:lang w:val="en-US" w:eastAsia="zh-CN"/>
        </w:rPr>
      </w:pPr>
    </w:p>
    <w:p>
      <w:pPr>
        <w:pStyle w:val="7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三、其他要求</w:t>
      </w:r>
    </w:p>
    <w:p>
      <w:pPr>
        <w:pStyle w:val="7"/>
        <w:rPr>
          <w:rFonts w:ascii="Times New Roman" w:hAnsi="Times New Roman" w:eastAsia="宋体"/>
        </w:rPr>
      </w:pPr>
      <w:r>
        <w:rPr>
          <w:rFonts w:hint="eastAsia"/>
          <w:lang w:val="en-US" w:eastAsia="zh-CN"/>
        </w:rPr>
        <w:t>1.</w:t>
      </w:r>
      <w:r>
        <w:t>交付时间</w:t>
      </w:r>
      <w:r>
        <w:rPr>
          <w:rFonts w:ascii="Times New Roman" w:hAnsi="Times New Roman" w:eastAsia="宋体"/>
        </w:rPr>
        <w:t>：</w:t>
      </w:r>
    </w:p>
    <w:p>
      <w:pPr>
        <w:pStyle w:val="7"/>
        <w:rPr>
          <w:rFonts w:ascii="Times New Roman" w:hAnsi="Times New Roman" w:eastAsia="宋体"/>
        </w:rPr>
      </w:pPr>
      <w:r>
        <w:rPr>
          <w:rFonts w:ascii="Times New Roman" w:hAnsi="Times New Roman" w:eastAsia="宋体"/>
        </w:rPr>
        <w:t>样本质检合格且次日起20个工作日内提供标准分析结题报告。</w:t>
      </w:r>
    </w:p>
    <w:p>
      <w:pPr>
        <w:pStyle w:val="7"/>
        <w:rPr>
          <w:rFonts w:ascii="Times New Roman" w:hAnsi="Times New Roman" w:eastAsia="宋体"/>
        </w:rPr>
      </w:pPr>
      <w:r>
        <w:t>2.交付地点</w:t>
      </w:r>
      <w:r>
        <w:rPr>
          <w:rFonts w:ascii="Times New Roman" w:hAnsi="Times New Roman" w:eastAsia="宋体"/>
        </w:rPr>
        <w:t>：</w:t>
      </w:r>
    </w:p>
    <w:p>
      <w:pPr>
        <w:pStyle w:val="7"/>
        <w:rPr>
          <w:rFonts w:ascii="Times New Roman" w:hAnsi="Times New Roman" w:eastAsia="宋体"/>
        </w:rPr>
      </w:pPr>
      <w:r>
        <w:rPr>
          <w:rFonts w:ascii="Times New Roman" w:hAnsi="Times New Roman" w:eastAsia="宋体"/>
        </w:rPr>
        <w:t>采购人指定地点</w:t>
      </w:r>
    </w:p>
    <w:p>
      <w:pPr>
        <w:pStyle w:val="4"/>
        <w:spacing w:before="0" w:beforeAutospacing="0" w:after="120" w:afterLines="50" w:afterAutospacing="0"/>
        <w:ind w:left="1280" w:leftChars="305" w:hanging="640" w:hangingChars="200"/>
        <w:contextualSpacing/>
        <w:rPr>
          <w:rFonts w:ascii="Times New Roman" w:hAnsi="Times New Roman"/>
          <w:color w:val="000000"/>
          <w:sz w:val="32"/>
          <w:szCs w:val="32"/>
        </w:rPr>
      </w:pPr>
      <w:r>
        <w:rPr>
          <w:rFonts w:ascii="黑体" w:hAnsi="黑体" w:eastAsia="黑体"/>
          <w:color w:val="000000"/>
          <w:sz w:val="32"/>
          <w:szCs w:val="32"/>
        </w:rPr>
        <w:t>3.付款条件（进度和方式）</w:t>
      </w:r>
      <w:r>
        <w:rPr>
          <w:rFonts w:ascii="Times New Roman" w:hAnsi="Times New Roman"/>
          <w:color w:val="000000"/>
          <w:sz w:val="32"/>
          <w:szCs w:val="32"/>
        </w:rPr>
        <w:t>：</w:t>
      </w:r>
    </w:p>
    <w:p>
      <w:pPr>
        <w:pStyle w:val="7"/>
        <w:rPr>
          <w:rFonts w:ascii="Times New Roman" w:hAnsi="Times New Roman" w:eastAsia="宋体"/>
        </w:rPr>
      </w:pPr>
      <w:r>
        <w:rPr>
          <w:rFonts w:ascii="Times New Roman" w:hAnsi="Times New Roman" w:eastAsia="宋体"/>
        </w:rPr>
        <w:t>合同签署后，收到发票后的7个工作日内，支付30%项目款；收到项目结题报告并在确认收到发票后的10个工作日支付剩余70%项目款。</w:t>
      </w:r>
    </w:p>
    <w:p>
      <w:pPr>
        <w:pStyle w:val="7"/>
        <w:numPr>
          <w:ilvl w:val="0"/>
          <w:numId w:val="1"/>
        </w:numPr>
        <w:ind w:firstLineChars="0"/>
        <w:rPr>
          <w:rFonts w:ascii="Times New Roman" w:hAnsi="Times New Roman" w:eastAsia="宋体"/>
        </w:rPr>
      </w:pPr>
      <w:r>
        <w:t>服务要求（售后、质保期等）</w:t>
      </w:r>
      <w:r>
        <w:rPr>
          <w:rFonts w:ascii="Times New Roman" w:hAnsi="Times New Roman" w:eastAsia="宋体"/>
        </w:rPr>
        <w:t>：</w:t>
      </w:r>
    </w:p>
    <w:p>
      <w:pPr>
        <w:pStyle w:val="7"/>
        <w:rPr>
          <w:rFonts w:ascii="Times New Roman" w:hAnsi="Times New Roman" w:eastAsia="宋体"/>
        </w:rPr>
      </w:pPr>
      <w:r>
        <w:rPr>
          <w:rFonts w:ascii="Times New Roman" w:hAnsi="Times New Roman" w:eastAsia="宋体"/>
        </w:rPr>
        <w:t>1）售后服务：中标人需提供包括产品质量、技术支持、售后问题解决等。供应商需要具备相应的售后服务能力，能够及时解决客户的问题。</w:t>
      </w:r>
    </w:p>
    <w:p>
      <w:pPr>
        <w:pStyle w:val="7"/>
        <w:rPr>
          <w:rFonts w:ascii="Times New Roman" w:hAnsi="Times New Roman" w:eastAsia="宋体"/>
        </w:rPr>
      </w:pPr>
      <w:r>
        <w:rPr>
          <w:rFonts w:ascii="Times New Roman" w:hAnsi="Times New Roman" w:eastAsia="宋体"/>
        </w:rPr>
        <w:t>2）有独立的检测平台，且不得将本项目转包给第三方机构完成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95B1915"/>
    <w:multiLevelType w:val="singleLevel"/>
    <w:tmpl w:val="A95B1915"/>
    <w:lvl w:ilvl="0" w:tentative="0">
      <w:start w:val="4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ZkMDU0NmE3NWU1Mzc1MWE4NzEwY2ZmMTFmZDEyZTEifQ=="/>
  </w:docVars>
  <w:rsids>
    <w:rsidRoot w:val="00000000"/>
    <w:rsid w:val="01B832C7"/>
    <w:rsid w:val="1B46240B"/>
    <w:rsid w:val="4A7B537E"/>
    <w:rsid w:val="77042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after="120"/>
    </w:pPr>
  </w:style>
  <w:style w:type="paragraph" w:styleId="3">
    <w:name w:val="Body Text 2"/>
    <w:basedOn w:val="1"/>
    <w:unhideWhenUsed/>
    <w:qFormat/>
    <w:uiPriority w:val="99"/>
    <w:pPr>
      <w:spacing w:after="120" w:line="480" w:lineRule="auto"/>
    </w:p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Times New Roman"/>
      <w:kern w:val="0"/>
      <w:sz w:val="24"/>
      <w:szCs w:val="24"/>
    </w:rPr>
  </w:style>
  <w:style w:type="paragraph" w:styleId="7">
    <w:name w:val="List Paragraph"/>
    <w:basedOn w:val="1"/>
    <w:autoRedefine/>
    <w:qFormat/>
    <w:uiPriority w:val="34"/>
    <w:pPr>
      <w:ind w:firstLine="640" w:firstLineChars="200"/>
    </w:pPr>
    <w:rPr>
      <w:rFonts w:ascii="黑体" w:hAnsi="黑体" w:eastAsia="黑体" w:cs="Times New Roman"/>
      <w:color w:val="000000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17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2024-05-06T00:56:06Z</dcterms:created>
  <dc:creator>admin</dc:creator>
  <cp:lastModifiedBy>张 志 明.</cp:lastModifiedBy>
  <dcterms:modified xsi:type="dcterms:W3CDTF">2024-05-06T01:15:09Z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275F3827D7A746D58AF8F8FC4A87543C_12</vt:lpwstr>
  </property>
</Properties>
</file>