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应急电源维保要求</w:t>
      </w:r>
    </w:p>
    <w:p>
      <w:pPr>
        <w:spacing w:line="360" w:lineRule="auto"/>
        <w:ind w:firstLine="480" w:firstLineChars="200"/>
        <w:rPr>
          <w:sz w:val="24"/>
        </w:rPr>
      </w:pPr>
      <w:r>
        <w:rPr>
          <w:rFonts w:hint="eastAsia"/>
          <w:sz w:val="24"/>
        </w:rPr>
        <w:t>应急电源包含柴油发电机组与UPS不间断电源两大类，均属于备用电源专用大型设备。因备用电源涉及到医院重要科室供电，如手术室、</w:t>
      </w:r>
      <w:r>
        <w:rPr>
          <w:rFonts w:hint="eastAsia" w:ascii="宋体" w:hAnsi="宋体" w:eastAsia="宋体" w:cs="宋体"/>
          <w:sz w:val="24"/>
        </w:rPr>
        <w:t>ICU、CCU、</w:t>
      </w:r>
      <w:r>
        <w:rPr>
          <w:rFonts w:hint="eastAsia"/>
          <w:sz w:val="24"/>
        </w:rPr>
        <w:t>实验室等重要科室，此设备需专业服务商提供维保服务，以做到提早预防用电事故，提前排除安全隐患。做到事前预防，事中解决，事后修复等工作。对于服务商要求比较高，为证明服务商具备应急电源设备维保能力，具体要求如下：</w:t>
      </w:r>
    </w:p>
    <w:p>
      <w:pPr>
        <w:numPr>
          <w:ilvl w:val="0"/>
          <w:numId w:val="1"/>
        </w:numPr>
        <w:spacing w:line="360" w:lineRule="auto"/>
        <w:rPr>
          <w:sz w:val="24"/>
        </w:rPr>
      </w:pPr>
      <w:r>
        <w:rPr>
          <w:rFonts w:hint="eastAsia"/>
          <w:sz w:val="24"/>
        </w:rPr>
        <w:t>服务商需熟悉医院每个科室用电情况及用电差异性。</w:t>
      </w:r>
    </w:p>
    <w:p>
      <w:pPr>
        <w:numPr>
          <w:ilvl w:val="0"/>
          <w:numId w:val="1"/>
        </w:numPr>
        <w:spacing w:line="360" w:lineRule="auto"/>
        <w:rPr>
          <w:sz w:val="24"/>
        </w:rPr>
      </w:pPr>
      <w:r>
        <w:rPr>
          <w:rFonts w:hint="eastAsia"/>
          <w:sz w:val="24"/>
        </w:rPr>
        <w:t>服务商服务人员需具备与</w:t>
      </w:r>
      <w:r>
        <w:rPr>
          <w:rFonts w:hint="eastAsia" w:ascii="宋体" w:hAnsi="宋体" w:eastAsia="宋体" w:cs="宋体"/>
          <w:sz w:val="24"/>
        </w:rPr>
        <w:t>本项目服务相关产品有效的ISO9001质量与ISO14001环境管理体系认证证书，认证范围应包含柴油发电机组、UPS不间断电源及蓄电池维保等关键认证。</w:t>
      </w:r>
    </w:p>
    <w:p>
      <w:pPr>
        <w:numPr>
          <w:ilvl w:val="0"/>
          <w:numId w:val="1"/>
        </w:numPr>
        <w:spacing w:line="360" w:lineRule="auto"/>
        <w:rPr>
          <w:sz w:val="24"/>
        </w:rPr>
      </w:pPr>
      <w:r>
        <w:rPr>
          <w:rFonts w:hint="eastAsia"/>
          <w:sz w:val="24"/>
        </w:rPr>
        <w:t>服务商</w:t>
      </w:r>
      <w:r>
        <w:rPr>
          <w:rFonts w:hint="eastAsia" w:ascii="宋体" w:hAnsi="宋体" w:eastAsia="宋体" w:cs="宋体"/>
          <w:sz w:val="24"/>
        </w:rPr>
        <w:t>近一年医院应急电源（柴油发电机组与UPS不间断电源）维保项目业绩及证明材料不少于</w:t>
      </w:r>
      <w:r>
        <w:rPr>
          <w:rFonts w:hint="eastAsia" w:ascii="宋体" w:hAnsi="宋体" w:eastAsia="宋体" w:cs="宋体"/>
          <w:sz w:val="24"/>
          <w:lang w:val="en-US" w:eastAsia="zh-CN"/>
        </w:rPr>
        <w:t>5</w:t>
      </w:r>
      <w:r>
        <w:rPr>
          <w:rFonts w:hint="eastAsia" w:ascii="宋体" w:hAnsi="宋体" w:eastAsia="宋体" w:cs="宋体"/>
          <w:sz w:val="24"/>
        </w:rPr>
        <w:t>个案例</w:t>
      </w:r>
    </w:p>
    <w:p>
      <w:pPr>
        <w:spacing w:line="360" w:lineRule="auto"/>
        <w:rPr>
          <w:rFonts w:ascii="宋体" w:hAnsi="宋体" w:eastAsia="宋体" w:cs="宋体"/>
          <w:sz w:val="24"/>
        </w:rPr>
      </w:pPr>
      <w:r>
        <w:rPr>
          <w:rFonts w:hint="eastAsia" w:ascii="宋体" w:hAnsi="宋体" w:eastAsia="宋体" w:cs="宋体"/>
          <w:sz w:val="24"/>
          <w:lang w:eastAsia="zh-CN"/>
        </w:rPr>
        <w:t>4</w:t>
      </w:r>
      <w:r>
        <w:rPr>
          <w:rFonts w:hint="eastAsia" w:ascii="宋体" w:hAnsi="宋体" w:eastAsia="宋体" w:cs="宋体"/>
          <w:sz w:val="24"/>
        </w:rPr>
        <w:t>、设备服务人员应取得国家主管部门颁发的低压电工作业证书，并与服务商签订正规劳务合同。</w:t>
      </w:r>
    </w:p>
    <w:p>
      <w:pPr>
        <w:spacing w:line="360" w:lineRule="auto"/>
        <w:rPr>
          <w:rFonts w:ascii="宋体" w:hAnsi="宋体" w:eastAsia="宋体" w:cs="宋体"/>
          <w:sz w:val="24"/>
        </w:rPr>
      </w:pPr>
      <w:r>
        <w:rPr>
          <w:rFonts w:hint="eastAsia" w:ascii="宋体" w:hAnsi="宋体" w:eastAsia="宋体" w:cs="宋体"/>
          <w:sz w:val="24"/>
          <w:lang w:eastAsia="zh-CN"/>
        </w:rPr>
        <w:t>5、</w:t>
      </w:r>
      <w:r>
        <w:rPr>
          <w:rFonts w:hint="eastAsia" w:ascii="宋体" w:hAnsi="宋体" w:eastAsia="宋体" w:cs="宋体"/>
          <w:sz w:val="24"/>
        </w:rPr>
        <w:t>项目经理与服务人员均对医院用电场景有深入研究分析与故障排除实践经验，有多家医院应急电源维保经验。</w:t>
      </w:r>
    </w:p>
    <w:p>
      <w:pPr>
        <w:spacing w:line="360" w:lineRule="auto"/>
        <w:rPr>
          <w:rFonts w:ascii="宋体" w:hAnsi="宋体" w:eastAsia="宋体" w:cs="宋体"/>
          <w:sz w:val="24"/>
        </w:rPr>
      </w:pPr>
      <w:r>
        <w:rPr>
          <w:rFonts w:hint="eastAsia" w:ascii="宋体" w:hAnsi="宋体" w:eastAsia="宋体" w:cs="宋体"/>
          <w:sz w:val="24"/>
          <w:lang w:eastAsia="zh-CN"/>
        </w:rPr>
        <w:t>6、</w:t>
      </w:r>
      <w:bookmarkStart w:id="0" w:name="_GoBack"/>
      <w:bookmarkEnd w:id="0"/>
      <w:r>
        <w:rPr>
          <w:rFonts w:hint="eastAsia" w:ascii="宋体" w:hAnsi="宋体" w:eastAsia="宋体" w:cs="宋体"/>
          <w:sz w:val="24"/>
        </w:rPr>
        <w:t>建议提供维保服务的服务商是本院应急电源设备（柴油发电机组与UPS不间断电源）的供货商，这样对于设备情况更加了解，能够快速响应及解决故障问题。</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jc w:val="right"/>
        <w:rPr>
          <w:rFonts w:hint="eastAsia" w:ascii="宋体" w:hAnsi="宋体" w:eastAsia="宋体" w:cs="宋体"/>
          <w:sz w:val="24"/>
          <w:lang w:val="en-US" w:eastAsia="zh-CN"/>
        </w:rPr>
      </w:pPr>
      <w:r>
        <w:rPr>
          <w:rFonts w:hint="eastAsia" w:ascii="宋体" w:hAnsi="宋体" w:eastAsia="宋体" w:cs="宋体"/>
          <w:sz w:val="24"/>
          <w:lang w:val="en-US" w:eastAsia="zh-CN"/>
        </w:rPr>
        <w:t>总务处</w:t>
      </w:r>
    </w:p>
    <w:p>
      <w:pPr>
        <w:spacing w:line="360" w:lineRule="auto"/>
        <w:jc w:val="right"/>
        <w:rPr>
          <w:rFonts w:hint="default" w:ascii="宋体" w:hAnsi="宋体" w:eastAsia="宋体" w:cs="宋体"/>
          <w:sz w:val="24"/>
          <w:lang w:val="en-US" w:eastAsia="zh-CN"/>
        </w:rPr>
      </w:pPr>
      <w:r>
        <w:rPr>
          <w:rFonts w:hint="eastAsia" w:ascii="宋体" w:hAnsi="宋体" w:eastAsia="宋体" w:cs="宋体"/>
          <w:sz w:val="24"/>
          <w:lang w:val="en-US" w:eastAsia="zh-CN"/>
        </w:rPr>
        <w:t>2023年12月20日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CBA6B5"/>
    <w:multiLevelType w:val="singleLevel"/>
    <w:tmpl w:val="D1CBA6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0"/>
    <w:rPr>
      <w:kern w:val="2"/>
      <w:sz w:val="18"/>
      <w:szCs w:val="18"/>
    </w:rPr>
  </w:style>
  <w:style w:type="character" w:customStyle="1" w:styleId="7">
    <w:name w:val="页脚 字符"/>
    <w:basedOn w:val="4"/>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536</Characters>
  <Lines>4</Lines>
  <Paragraphs>1</Paragraphs>
  <TotalTime>0</TotalTime>
  <ScaleCrop>false</ScaleCrop>
  <LinksUpToDate>false</LinksUpToDate>
  <CharactersWithSpaces>628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2021-12-21T11:19:00Z</dcterms:created>
  <dc:creator>Perry</dc:creator>
  <cp:lastModifiedBy>iPhone</cp:lastModifiedBy>
  <dcterms:modified xsi:type="dcterms:W3CDTF">2023-12-19T09:07:25Z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2052-12.7.0</vt:lpwstr>
  </property>
  <property fmtid="{D5CDD505-2E9C-101B-9397-08002B2CF9AE}" pid="3" name="ICV">
    <vt:lpwstr>F3904BD35D6A4BE68F185F7466C38CBE_13</vt:lpwstr>
  </property>
</Properties>
</file>