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048"/>
        <w:gridCol w:w="975"/>
        <w:gridCol w:w="639"/>
        <w:gridCol w:w="5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序号</w:t>
            </w:r>
          </w:p>
        </w:tc>
        <w:tc>
          <w:tcPr>
            <w:tcW w:w="61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评分因素</w:t>
            </w:r>
          </w:p>
        </w:tc>
        <w:tc>
          <w:tcPr>
            <w:tcW w:w="4025" w:type="pct"/>
            <w:gridSpan w:val="3"/>
            <w:vAlign w:val="center"/>
          </w:tcPr>
          <w:p>
            <w:pPr>
              <w:keepNext w:val="0"/>
              <w:keepLines w:val="0"/>
              <w:pageBreakBefore w:val="0"/>
              <w:topLinePunct w:val="0"/>
              <w:bidi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restar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w:t>
            </w:r>
          </w:p>
        </w:tc>
        <w:tc>
          <w:tcPr>
            <w:tcW w:w="615" w:type="pct"/>
            <w:vMerge w:val="restar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商务</w:t>
            </w:r>
          </w:p>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w:t>
            </w:r>
            <w:r>
              <w:rPr>
                <w:rFonts w:hint="default" w:ascii="Times New Roman" w:hAnsi="Times New Roman" w:eastAsia="宋体" w:cs="Times New Roman"/>
                <w:sz w:val="22"/>
                <w:szCs w:val="22"/>
                <w:highlight w:val="none"/>
                <w:lang w:val="en-US" w:eastAsia="zh-CN"/>
              </w:rPr>
              <w:t>0</w:t>
            </w:r>
            <w:r>
              <w:rPr>
                <w:rFonts w:hint="default" w:ascii="Times New Roman" w:hAnsi="Times New Roman" w:eastAsia="宋体" w:cs="Times New Roman"/>
                <w:sz w:val="22"/>
                <w:szCs w:val="22"/>
                <w:highlight w:val="none"/>
              </w:rPr>
              <w:t>分）</w:t>
            </w:r>
          </w:p>
        </w:tc>
        <w:tc>
          <w:tcPr>
            <w:tcW w:w="572"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企业业绩及经验</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eastAsia" w:cs="Times New Roman"/>
                <w:sz w:val="22"/>
                <w:szCs w:val="22"/>
                <w:highlight w:val="none"/>
                <w:lang w:val="en-US" w:eastAsia="zh-CN"/>
              </w:rPr>
              <w:t>5</w:t>
            </w:r>
            <w:r>
              <w:rPr>
                <w:rFonts w:hint="default" w:ascii="Times New Roman" w:hAnsi="Times New Roman" w:eastAsia="宋体" w:cs="Times New Roman"/>
                <w:sz w:val="22"/>
                <w:szCs w:val="22"/>
                <w:highlight w:val="none"/>
              </w:rPr>
              <w:t>分</w:t>
            </w:r>
          </w:p>
        </w:tc>
        <w:tc>
          <w:tcPr>
            <w:tcW w:w="3077" w:type="pct"/>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综合考虑</w:t>
            </w:r>
            <w:r>
              <w:rPr>
                <w:rFonts w:hint="default" w:ascii="Times New Roman" w:hAnsi="Times New Roman" w:eastAsia="宋体" w:cs="Times New Roman"/>
                <w:sz w:val="22"/>
                <w:szCs w:val="22"/>
                <w:lang w:val="en-US" w:eastAsia="zh-CN"/>
              </w:rPr>
              <w:t>投标人</w:t>
            </w:r>
            <w:r>
              <w:rPr>
                <w:rFonts w:hint="default" w:ascii="Times New Roman" w:hAnsi="Times New Roman" w:eastAsia="宋体" w:cs="Times New Roman"/>
                <w:sz w:val="22"/>
                <w:szCs w:val="22"/>
              </w:rPr>
              <w:t>自20</w:t>
            </w:r>
            <w:r>
              <w:rPr>
                <w:rFonts w:hint="eastAsia" w:ascii="Times New Roman" w:hAnsi="Times New Roman" w:cs="Times New Roman"/>
                <w:sz w:val="22"/>
                <w:szCs w:val="22"/>
                <w:lang w:val="en-US" w:eastAsia="zh-CN"/>
              </w:rPr>
              <w:t>20</w:t>
            </w:r>
            <w:r>
              <w:rPr>
                <w:rFonts w:hint="default" w:ascii="Times New Roman" w:hAnsi="Times New Roman" w:eastAsia="宋体" w:cs="Times New Roman"/>
                <w:sz w:val="22"/>
                <w:szCs w:val="22"/>
              </w:rPr>
              <w:t>年</w:t>
            </w:r>
            <w:r>
              <w:rPr>
                <w:rFonts w:hint="eastAsia" w:cs="Times New Roman"/>
                <w:sz w:val="22"/>
                <w:szCs w:val="22"/>
                <w:lang w:val="en-US" w:eastAsia="zh-CN"/>
              </w:rPr>
              <w:t>11</w:t>
            </w:r>
            <w:r>
              <w:rPr>
                <w:rFonts w:hint="default" w:ascii="Times New Roman" w:hAnsi="Times New Roman" w:eastAsia="宋体" w:cs="Times New Roman"/>
                <w:sz w:val="22"/>
                <w:szCs w:val="22"/>
              </w:rPr>
              <w:t>月起至今承担的</w:t>
            </w:r>
            <w:r>
              <w:rPr>
                <w:rFonts w:hint="eastAsia" w:ascii="Times New Roman" w:hAnsi="Times New Roman" w:eastAsia="宋体" w:cs="Times New Roman"/>
                <w:sz w:val="22"/>
                <w:szCs w:val="22"/>
                <w:lang w:val="en-US" w:eastAsia="zh-CN"/>
              </w:rPr>
              <w:t>与本分包服务内容</w:t>
            </w:r>
            <w:r>
              <w:rPr>
                <w:rFonts w:hint="default" w:ascii="Times New Roman" w:hAnsi="Times New Roman" w:eastAsia="宋体" w:cs="Times New Roman"/>
                <w:sz w:val="22"/>
                <w:szCs w:val="22"/>
                <w:lang w:val="en-US" w:eastAsia="zh-CN"/>
              </w:rPr>
              <w:t>相同或类似项目</w:t>
            </w:r>
            <w:r>
              <w:rPr>
                <w:rFonts w:hint="default" w:ascii="Times New Roman" w:hAnsi="Times New Roman" w:eastAsia="宋体" w:cs="Times New Roman"/>
                <w:sz w:val="22"/>
                <w:szCs w:val="22"/>
              </w:rPr>
              <w:t>业绩经验，每提供一个有效业绩证明得</w:t>
            </w:r>
            <w:r>
              <w:rPr>
                <w:rFonts w:hint="eastAsia" w:cs="Times New Roman"/>
                <w:sz w:val="22"/>
                <w:szCs w:val="22"/>
                <w:lang w:val="en-US" w:eastAsia="zh-CN"/>
              </w:rPr>
              <w:t>1</w:t>
            </w:r>
            <w:r>
              <w:rPr>
                <w:rFonts w:hint="default" w:ascii="Times New Roman" w:hAnsi="Times New Roman" w:eastAsia="宋体" w:cs="Times New Roman"/>
                <w:sz w:val="22"/>
                <w:szCs w:val="22"/>
              </w:rPr>
              <w:t>分，本项最高得</w:t>
            </w:r>
            <w:r>
              <w:rPr>
                <w:rFonts w:hint="eastAsia" w:cs="Times New Roman"/>
                <w:sz w:val="22"/>
                <w:szCs w:val="22"/>
                <w:lang w:val="en-US" w:eastAsia="zh-CN"/>
              </w:rPr>
              <w:t>5</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sz w:val="22"/>
                <w:szCs w:val="22"/>
                <w:lang w:eastAsia="zh-CN"/>
              </w:rPr>
            </w:pPr>
            <w:r>
              <w:rPr>
                <w:rFonts w:hint="default" w:ascii="Times New Roman" w:hAnsi="Times New Roman" w:eastAsia="宋体" w:cs="Times New Roman"/>
                <w:sz w:val="22"/>
                <w:szCs w:val="22"/>
              </w:rPr>
              <w:t>注：</w:t>
            </w:r>
            <w:r>
              <w:rPr>
                <w:rFonts w:hint="eastAsia" w:ascii="Times New Roman" w:hAnsi="Times New Roman" w:cs="Times New Roman"/>
                <w:sz w:val="22"/>
                <w:szCs w:val="22"/>
                <w:lang w:val="en-US" w:eastAsia="zh-CN"/>
              </w:rPr>
              <w:t>须</w:t>
            </w:r>
            <w:r>
              <w:rPr>
                <w:rFonts w:hint="default" w:ascii="Times New Roman" w:hAnsi="Times New Roman" w:eastAsia="宋体" w:cs="Times New Roman"/>
                <w:sz w:val="22"/>
                <w:szCs w:val="22"/>
              </w:rPr>
              <w:t>提供合同首页、签字盖章页、合同关键内容页的复印件，并加盖投标人公章，否则不予得分</w:t>
            </w:r>
            <w:r>
              <w:rPr>
                <w:rFonts w:hint="eastAsia" w:ascii="Times New Roman" w:hAnsi="Times New Roman" w:cs="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p>
        </w:tc>
        <w:tc>
          <w:tcPr>
            <w:tcW w:w="615"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p>
        </w:tc>
        <w:tc>
          <w:tcPr>
            <w:tcW w:w="572" w:type="pct"/>
            <w:vAlign w:val="center"/>
          </w:tcPr>
          <w:p>
            <w:pPr>
              <w:keepNext w:val="0"/>
              <w:keepLines w:val="0"/>
              <w:pageBreakBefore w:val="0"/>
              <w:topLinePunct w:val="0"/>
              <w:bidi w:val="0"/>
              <w:spacing w:line="360" w:lineRule="auto"/>
              <w:jc w:val="center"/>
              <w:rPr>
                <w:rFonts w:hint="eastAsia"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资质证明</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5分</w:t>
            </w:r>
          </w:p>
        </w:tc>
        <w:tc>
          <w:tcPr>
            <w:tcW w:w="3077" w:type="pct"/>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bookmarkStart w:id="0" w:name="_GoBack"/>
            <w:bookmarkEnd w:id="0"/>
            <w:r>
              <w:rPr>
                <w:rFonts w:hint="default" w:ascii="Times New Roman" w:hAnsi="Times New Roman" w:eastAsia="宋体" w:cs="Times New Roman"/>
                <w:sz w:val="22"/>
                <w:szCs w:val="22"/>
              </w:rPr>
              <w:t>提供相关质量管理体系认证、环境体系认证、信息安全管理体系认证、认证信息技术服务管理体系认证</w:t>
            </w:r>
            <w:r>
              <w:rPr>
                <w:rFonts w:hint="eastAsia" w:cs="Times New Roman"/>
                <w:sz w:val="22"/>
                <w:szCs w:val="22"/>
                <w:lang w:val="en-US" w:eastAsia="zh-CN"/>
              </w:rPr>
              <w:t>等相关本次采购的</w:t>
            </w:r>
            <w:r>
              <w:rPr>
                <w:rFonts w:hint="default" w:ascii="Times New Roman" w:hAnsi="Times New Roman" w:eastAsia="宋体" w:cs="Times New Roman"/>
                <w:sz w:val="22"/>
                <w:szCs w:val="22"/>
              </w:rPr>
              <w:t>证明资料，有1项得</w:t>
            </w:r>
            <w:r>
              <w:rPr>
                <w:rFonts w:hint="eastAsia" w:cs="Times New Roman"/>
                <w:sz w:val="22"/>
                <w:szCs w:val="22"/>
                <w:lang w:val="en-US" w:eastAsia="zh-CN"/>
              </w:rPr>
              <w:t>1</w:t>
            </w:r>
            <w:r>
              <w:rPr>
                <w:rFonts w:hint="default" w:ascii="Times New Roman" w:hAnsi="Times New Roman" w:eastAsia="宋体" w:cs="Times New Roman"/>
                <w:sz w:val="22"/>
                <w:szCs w:val="22"/>
              </w:rPr>
              <w:t>分，最高得分</w:t>
            </w:r>
            <w:r>
              <w:rPr>
                <w:rFonts w:hint="eastAsia" w:cs="Times New Roman"/>
                <w:sz w:val="22"/>
                <w:szCs w:val="22"/>
                <w:lang w:val="en-US" w:eastAsia="zh-CN"/>
              </w:rPr>
              <w:t>5</w:t>
            </w:r>
            <w:r>
              <w:rPr>
                <w:rFonts w:hint="default" w:ascii="Times New Roman" w:hAnsi="Times New Roman" w:eastAsia="宋体" w:cs="Times New Roman"/>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restar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w:t>
            </w:r>
          </w:p>
        </w:tc>
        <w:tc>
          <w:tcPr>
            <w:tcW w:w="615" w:type="pct"/>
            <w:vMerge w:val="restar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服务方案</w:t>
            </w:r>
          </w:p>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w:t>
            </w:r>
            <w:r>
              <w:rPr>
                <w:rFonts w:hint="eastAsia" w:cs="Times New Roman"/>
                <w:sz w:val="22"/>
                <w:szCs w:val="22"/>
                <w:highlight w:val="none"/>
                <w:lang w:val="en-US" w:eastAsia="zh-CN"/>
              </w:rPr>
              <w:t>60</w:t>
            </w:r>
            <w:r>
              <w:rPr>
                <w:rFonts w:hint="default" w:ascii="Times New Roman" w:hAnsi="Times New Roman" w:eastAsia="宋体" w:cs="Times New Roman"/>
                <w:sz w:val="22"/>
                <w:szCs w:val="22"/>
                <w:highlight w:val="none"/>
              </w:rPr>
              <w:t>分）</w:t>
            </w:r>
          </w:p>
        </w:tc>
        <w:tc>
          <w:tcPr>
            <w:tcW w:w="572"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kern w:val="2"/>
                <w:sz w:val="22"/>
                <w:szCs w:val="22"/>
                <w:highlight w:val="none"/>
                <w:lang w:val="en-US" w:eastAsia="zh-CN" w:bidi="ar-SA"/>
              </w:rPr>
            </w:pPr>
            <w:r>
              <w:rPr>
                <w:rFonts w:hint="eastAsia" w:cs="Times New Roman"/>
                <w:sz w:val="22"/>
                <w:szCs w:val="22"/>
                <w:highlight w:val="none"/>
                <w:lang w:val="en-US" w:eastAsia="zh-CN"/>
              </w:rPr>
              <w:t>技术响应</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kern w:val="2"/>
                <w:sz w:val="22"/>
                <w:szCs w:val="22"/>
                <w:highlight w:val="none"/>
                <w:lang w:val="en-US" w:eastAsia="zh-CN" w:bidi="ar-SA"/>
              </w:rPr>
            </w:pPr>
            <w:r>
              <w:rPr>
                <w:rFonts w:hint="eastAsia" w:cs="Times New Roman"/>
                <w:sz w:val="22"/>
                <w:szCs w:val="22"/>
                <w:highlight w:val="none"/>
                <w:lang w:val="en-US" w:eastAsia="zh-CN"/>
              </w:rPr>
              <w:t>20</w:t>
            </w:r>
            <w:r>
              <w:rPr>
                <w:rFonts w:hint="eastAsia" w:ascii="Times New Roman" w:hAnsi="Times New Roman" w:eastAsia="宋体" w:cs="Times New Roman"/>
                <w:sz w:val="22"/>
                <w:szCs w:val="22"/>
                <w:highlight w:val="none"/>
                <w:lang w:val="en-US" w:eastAsia="zh-CN"/>
              </w:rPr>
              <w:t>分</w:t>
            </w:r>
          </w:p>
        </w:tc>
        <w:tc>
          <w:tcPr>
            <w:tcW w:w="3077" w:type="pct"/>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投标文件采购需求技术指标全部满足招标文件要求的为</w:t>
            </w:r>
            <w:r>
              <w:rPr>
                <w:rFonts w:hint="eastAsia" w:cs="Times New Roman"/>
                <w:sz w:val="22"/>
                <w:szCs w:val="22"/>
                <w:lang w:val="en-US" w:eastAsia="zh-CN"/>
              </w:rPr>
              <w:t>20</w:t>
            </w:r>
            <w:r>
              <w:rPr>
                <w:rFonts w:hint="default" w:ascii="Times New Roman" w:hAnsi="Times New Roman" w:eastAsia="宋体" w:cs="Times New Roman"/>
                <w:sz w:val="22"/>
                <w:szCs w:val="22"/>
              </w:rPr>
              <w:t>分</w:t>
            </w:r>
            <w:r>
              <w:rPr>
                <w:rFonts w:hint="eastAsia" w:cs="Times New Roman"/>
                <w:sz w:val="22"/>
                <w:szCs w:val="22"/>
                <w:lang w:eastAsia="zh-CN"/>
              </w:rPr>
              <w:t>（</w:t>
            </w:r>
            <w:r>
              <w:rPr>
                <w:rFonts w:hint="eastAsia" w:cs="Times New Roman"/>
                <w:sz w:val="22"/>
                <w:szCs w:val="22"/>
                <w:lang w:val="en-US" w:eastAsia="zh-CN"/>
              </w:rPr>
              <w:t>共20项</w:t>
            </w:r>
            <w:r>
              <w:rPr>
                <w:rFonts w:hint="eastAsia" w:cs="Times New Roman"/>
                <w:sz w:val="22"/>
                <w:szCs w:val="22"/>
                <w:lang w:eastAsia="zh-CN"/>
              </w:rPr>
              <w:t>）</w:t>
            </w:r>
            <w:r>
              <w:rPr>
                <w:rFonts w:hint="default" w:ascii="Times New Roman" w:hAnsi="Times New Roman" w:eastAsia="宋体" w:cs="Times New Roman"/>
                <w:sz w:val="22"/>
                <w:szCs w:val="22"/>
              </w:rPr>
              <w:t>，指标</w:t>
            </w:r>
            <w:r>
              <w:rPr>
                <w:rFonts w:hint="eastAsia" w:cs="Times New Roman"/>
                <w:sz w:val="22"/>
                <w:szCs w:val="22"/>
                <w:lang w:val="en-US" w:eastAsia="zh-CN"/>
              </w:rPr>
              <w:t>项</w:t>
            </w:r>
            <w:r>
              <w:rPr>
                <w:rFonts w:hint="default" w:ascii="Times New Roman" w:hAnsi="Times New Roman" w:eastAsia="宋体" w:cs="Times New Roman"/>
                <w:sz w:val="22"/>
                <w:szCs w:val="22"/>
              </w:rPr>
              <w:t>有1项不满足扣</w:t>
            </w:r>
            <w:r>
              <w:rPr>
                <w:rFonts w:hint="eastAsia" w:cs="Times New Roman"/>
                <w:sz w:val="22"/>
                <w:szCs w:val="22"/>
                <w:lang w:val="en-US" w:eastAsia="zh-CN"/>
              </w:rPr>
              <w:t>1</w:t>
            </w:r>
            <w:r>
              <w:rPr>
                <w:rFonts w:hint="default" w:ascii="Times New Roman" w:hAnsi="Times New Roman" w:eastAsia="宋体" w:cs="Times New Roman"/>
                <w:sz w:val="22"/>
                <w:szCs w:val="22"/>
              </w:rPr>
              <w:t>分；全部满足得（技术参数最低得分为0分时将按照无效投标处理，予以拒绝。其中技术应答的证明材料指生产厂家公开发布的印刷资料或检测机构出具的检验报告，若生产厂家公开发布的印刷资料与检测机构出具的检验报告不一致，以检测机构出具的检验报告为准。未提供投标产品技术支持资料（或证明材料）的，或提供的投标产品技术支持资料（或证明材料）未按加盖供应商或生产厂家（或境内总代理、独家代理）公章的，评标委员会可不予承认）</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highlight w:val="yellow"/>
              </w:rPr>
              <w:t>备注：偏离度参数表中需提供佐证资料的具体页码位置，未标明项视为负偏离。</w:t>
            </w:r>
            <w:r>
              <w:rPr>
                <w:rFonts w:hint="eastAsia" w:ascii="Times New Roman" w:hAnsi="Times New Roman" w:eastAsia="宋体" w:cs="Times New Roman"/>
                <w:sz w:val="22"/>
                <w:szCs w:val="22"/>
                <w:highlight w:val="yellow"/>
                <w:lang w:val="en-US" w:eastAsia="zh-CN"/>
              </w:rPr>
              <w:t>参考：第二部分第二点“项目要求”。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vAlign w:val="center"/>
          </w:tcPr>
          <w:p>
            <w:pPr>
              <w:keepNext w:val="0"/>
              <w:keepLines w:val="0"/>
              <w:pageBreakBefore w:val="0"/>
              <w:topLinePunct w:val="0"/>
              <w:bidi w:val="0"/>
              <w:adjustRightInd w:val="0"/>
              <w:snapToGrid w:val="0"/>
              <w:spacing w:line="360" w:lineRule="auto"/>
              <w:jc w:val="center"/>
              <w:rPr>
                <w:rFonts w:hint="eastAsia"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rPr>
              <w:t>实施</w:t>
            </w:r>
            <w:r>
              <w:rPr>
                <w:rFonts w:hint="eastAsia" w:cs="Times New Roman"/>
                <w:sz w:val="22"/>
                <w:szCs w:val="22"/>
                <w:highlight w:val="none"/>
                <w:lang w:val="en-US" w:eastAsia="zh-CN"/>
              </w:rPr>
              <w:t>方案</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10</w:t>
            </w:r>
            <w:r>
              <w:rPr>
                <w:rFonts w:hint="default" w:ascii="Times New Roman" w:hAnsi="Times New Roman" w:eastAsia="宋体" w:cs="Times New Roman"/>
                <w:sz w:val="22"/>
                <w:szCs w:val="22"/>
                <w:highlight w:val="none"/>
              </w:rPr>
              <w:t>分</w:t>
            </w:r>
          </w:p>
        </w:tc>
        <w:tc>
          <w:tcPr>
            <w:tcW w:w="3077" w:type="pct"/>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（1）实施</w:t>
            </w:r>
            <w:r>
              <w:rPr>
                <w:rFonts w:hint="eastAsia" w:cs="Times New Roman"/>
                <w:sz w:val="22"/>
                <w:szCs w:val="22"/>
                <w:lang w:val="en-US" w:eastAsia="zh-CN"/>
              </w:rPr>
              <w:t>方案</w:t>
            </w:r>
            <w:r>
              <w:rPr>
                <w:rFonts w:hint="default" w:ascii="Times New Roman" w:hAnsi="Times New Roman" w:eastAsia="宋体" w:cs="Times New Roman"/>
                <w:sz w:val="22"/>
                <w:szCs w:val="22"/>
              </w:rPr>
              <w:t>内容全面详实、科学合理，各环节衔接紧凑，可执行性强，能够完全满足采购需求的，得</w:t>
            </w:r>
            <w:r>
              <w:rPr>
                <w:rFonts w:hint="eastAsia" w:cs="Times New Roman"/>
                <w:sz w:val="22"/>
                <w:szCs w:val="22"/>
                <w:lang w:val="en-US" w:eastAsia="zh-CN"/>
              </w:rPr>
              <w:t>10</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（2）实施</w:t>
            </w:r>
            <w:r>
              <w:rPr>
                <w:rFonts w:hint="eastAsia" w:cs="Times New Roman"/>
                <w:sz w:val="22"/>
                <w:szCs w:val="22"/>
                <w:lang w:val="en-US" w:eastAsia="zh-CN"/>
              </w:rPr>
              <w:t>方案</w:t>
            </w:r>
            <w:r>
              <w:rPr>
                <w:rFonts w:hint="default" w:ascii="Times New Roman" w:hAnsi="Times New Roman" w:eastAsia="宋体" w:cs="Times New Roman"/>
                <w:sz w:val="22"/>
                <w:szCs w:val="22"/>
              </w:rPr>
              <w:t>内容较全面详实、较科学合理，各环节衔接较紧凑，可执行性较强，能够较好满足采购需求的，得</w:t>
            </w:r>
            <w:r>
              <w:rPr>
                <w:rFonts w:hint="eastAsia" w:cs="Times New Roman"/>
                <w:sz w:val="22"/>
                <w:szCs w:val="22"/>
                <w:lang w:val="en-US" w:eastAsia="zh-CN"/>
              </w:rPr>
              <w:t>6-9</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（3）实施</w:t>
            </w:r>
            <w:r>
              <w:rPr>
                <w:rFonts w:hint="eastAsia" w:cs="Times New Roman"/>
                <w:sz w:val="22"/>
                <w:szCs w:val="22"/>
                <w:lang w:val="en-US" w:eastAsia="zh-CN"/>
              </w:rPr>
              <w:t>方案</w:t>
            </w:r>
            <w:r>
              <w:rPr>
                <w:rFonts w:hint="default" w:ascii="Times New Roman" w:hAnsi="Times New Roman" w:eastAsia="宋体" w:cs="Times New Roman"/>
                <w:sz w:val="22"/>
                <w:szCs w:val="22"/>
              </w:rPr>
              <w:t>全面性、科学合理性、各环节衔接紧凑性和可执行性一般，采购需求满足程度一般的，得</w:t>
            </w:r>
            <w:r>
              <w:rPr>
                <w:rFonts w:hint="eastAsia" w:cs="Times New Roman"/>
                <w:sz w:val="22"/>
                <w:szCs w:val="22"/>
                <w:lang w:val="en-US" w:eastAsia="zh-CN"/>
              </w:rPr>
              <w:t>3-5</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（4）实施</w:t>
            </w:r>
            <w:r>
              <w:rPr>
                <w:rFonts w:hint="eastAsia" w:cs="Times New Roman"/>
                <w:sz w:val="22"/>
                <w:szCs w:val="22"/>
                <w:lang w:val="en-US" w:eastAsia="zh-CN"/>
              </w:rPr>
              <w:t>方案</w:t>
            </w:r>
            <w:r>
              <w:rPr>
                <w:rFonts w:hint="default" w:ascii="Times New Roman" w:hAnsi="Times New Roman" w:eastAsia="宋体" w:cs="Times New Roman"/>
                <w:sz w:val="22"/>
                <w:szCs w:val="22"/>
              </w:rPr>
              <w:t>全面性、科学合理性、各环节衔接紧凑性和可执行性较差，难以满足采购需求的，得</w:t>
            </w:r>
            <w:r>
              <w:rPr>
                <w:rFonts w:hint="eastAsia" w:cs="Times New Roman"/>
                <w:sz w:val="22"/>
                <w:szCs w:val="22"/>
                <w:lang w:val="en-US" w:eastAsia="zh-CN"/>
              </w:rPr>
              <w:t>1-2</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bCs/>
                <w:iCs/>
                <w:sz w:val="22"/>
                <w:szCs w:val="22"/>
              </w:rPr>
            </w:pPr>
            <w:r>
              <w:rPr>
                <w:rFonts w:hint="default" w:ascii="Times New Roman" w:hAnsi="Times New Roman" w:eastAsia="宋体" w:cs="Times New Roman"/>
                <w:sz w:val="22"/>
                <w:szCs w:val="22"/>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项目实施团队</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10</w:t>
            </w:r>
            <w:r>
              <w:rPr>
                <w:rFonts w:hint="eastAsia" w:ascii="Times New Roman" w:hAnsi="Times New Roman" w:cs="Times New Roman"/>
                <w:sz w:val="22"/>
                <w:szCs w:val="22"/>
                <w:highlight w:val="none"/>
                <w:lang w:val="en-US" w:eastAsia="zh-CN"/>
              </w:rPr>
              <w:t>分</w:t>
            </w:r>
          </w:p>
        </w:tc>
        <w:tc>
          <w:tcPr>
            <w:tcW w:w="3077" w:type="pct"/>
            <w:vAlign w:val="center"/>
          </w:tcPr>
          <w:p>
            <w:pPr>
              <w:spacing w:line="360" w:lineRule="auto"/>
              <w:rPr>
                <w:rFonts w:hint="default" w:ascii="Times New Roman" w:hAnsi="Times New Roman" w:eastAsia="宋体" w:cs="Times New Roman"/>
                <w:kern w:val="0"/>
                <w:sz w:val="22"/>
                <w:szCs w:val="22"/>
              </w:rPr>
            </w:pPr>
            <w:r>
              <w:rPr>
                <w:rFonts w:hint="eastAsia" w:ascii="Times New Roman" w:hAnsi="Times New Roman" w:cs="Times New Roman"/>
                <w:bCs/>
                <w:iCs/>
                <w:sz w:val="22"/>
                <w:szCs w:val="22"/>
                <w:lang w:val="en-US" w:eastAsia="zh-CN"/>
              </w:rPr>
              <w:t>（1）</w:t>
            </w:r>
            <w:r>
              <w:rPr>
                <w:rFonts w:hint="default" w:ascii="Times New Roman" w:hAnsi="Times New Roman" w:eastAsia="宋体" w:cs="Times New Roman"/>
                <w:bCs/>
                <w:iCs/>
                <w:sz w:val="22"/>
                <w:szCs w:val="22"/>
                <w:lang w:val="en-US" w:eastAsia="zh-CN"/>
              </w:rPr>
              <w:t>人员</w:t>
            </w:r>
            <w:r>
              <w:rPr>
                <w:rFonts w:hint="default" w:ascii="Times New Roman" w:hAnsi="Times New Roman" w:eastAsia="宋体" w:cs="Times New Roman"/>
                <w:bCs/>
                <w:iCs/>
                <w:sz w:val="22"/>
                <w:szCs w:val="22"/>
              </w:rPr>
              <w:t>安排合理、配备充足，技术专业，经验丰富，分工合理，能够</w:t>
            </w:r>
            <w:r>
              <w:rPr>
                <w:rFonts w:hint="default" w:ascii="Times New Roman" w:hAnsi="Times New Roman" w:eastAsia="宋体" w:cs="Times New Roman"/>
                <w:snapToGrid w:val="0"/>
                <w:kern w:val="0"/>
                <w:sz w:val="22"/>
                <w:szCs w:val="22"/>
              </w:rPr>
              <w:t>附团队人员名单、类似项目经验说明材料</w:t>
            </w:r>
            <w:r>
              <w:rPr>
                <w:rFonts w:hint="eastAsia" w:cs="Times New Roman"/>
                <w:snapToGrid w:val="0"/>
                <w:kern w:val="0"/>
                <w:sz w:val="22"/>
                <w:szCs w:val="22"/>
                <w:lang w:val="en-US" w:eastAsia="zh-CN"/>
              </w:rPr>
              <w:t>的</w:t>
            </w:r>
            <w:r>
              <w:rPr>
                <w:rFonts w:hint="default" w:ascii="Times New Roman" w:hAnsi="Times New Roman" w:eastAsia="宋体" w:cs="Times New Roman"/>
                <w:bCs/>
                <w:iCs/>
                <w:sz w:val="22"/>
                <w:szCs w:val="22"/>
                <w:lang w:eastAsia="zh-CN"/>
              </w:rPr>
              <w:t>，</w:t>
            </w:r>
            <w:r>
              <w:rPr>
                <w:rFonts w:hint="default" w:ascii="Times New Roman" w:hAnsi="Times New Roman" w:eastAsia="宋体" w:cs="Times New Roman"/>
                <w:bCs/>
                <w:iCs/>
                <w:sz w:val="22"/>
                <w:szCs w:val="22"/>
                <w:lang w:val="en-US" w:eastAsia="zh-CN"/>
              </w:rPr>
              <w:t>得</w:t>
            </w:r>
            <w:r>
              <w:rPr>
                <w:rFonts w:hint="eastAsia" w:cs="Times New Roman"/>
                <w:kern w:val="0"/>
                <w:sz w:val="22"/>
                <w:szCs w:val="22"/>
                <w:lang w:val="en-US" w:eastAsia="zh-CN"/>
              </w:rPr>
              <w:t>8-10</w:t>
            </w:r>
            <w:r>
              <w:rPr>
                <w:rFonts w:hint="default" w:ascii="Times New Roman" w:hAnsi="Times New Roman" w:eastAsia="宋体" w:cs="Times New Roman"/>
                <w:kern w:val="0"/>
                <w:sz w:val="22"/>
                <w:szCs w:val="22"/>
              </w:rPr>
              <w:t>分；</w:t>
            </w:r>
          </w:p>
          <w:p>
            <w:pPr>
              <w:spacing w:line="360" w:lineRule="auto"/>
              <w:rPr>
                <w:rFonts w:hint="default" w:ascii="Times New Roman" w:hAnsi="Times New Roman" w:eastAsia="宋体" w:cs="Times New Roman"/>
                <w:kern w:val="0"/>
                <w:sz w:val="22"/>
                <w:szCs w:val="22"/>
              </w:rPr>
            </w:pPr>
            <w:r>
              <w:rPr>
                <w:rFonts w:hint="eastAsia" w:ascii="Times New Roman" w:hAnsi="Times New Roman" w:cs="Times New Roman"/>
                <w:bCs/>
                <w:iCs/>
                <w:sz w:val="22"/>
                <w:szCs w:val="22"/>
                <w:lang w:val="en-US" w:eastAsia="zh-CN"/>
              </w:rPr>
              <w:t>（2）</w:t>
            </w:r>
            <w:r>
              <w:rPr>
                <w:rFonts w:hint="default" w:ascii="Times New Roman" w:hAnsi="Times New Roman" w:eastAsia="宋体" w:cs="Times New Roman"/>
                <w:bCs/>
                <w:iCs/>
                <w:sz w:val="22"/>
                <w:szCs w:val="22"/>
                <w:lang w:val="en-US" w:eastAsia="zh-CN"/>
              </w:rPr>
              <w:t>人员</w:t>
            </w:r>
            <w:r>
              <w:rPr>
                <w:rFonts w:hint="default" w:ascii="Times New Roman" w:hAnsi="Times New Roman" w:eastAsia="宋体" w:cs="Times New Roman"/>
                <w:bCs/>
                <w:iCs/>
                <w:sz w:val="22"/>
                <w:szCs w:val="22"/>
              </w:rPr>
              <w:t>安排较合理、配备较充足，经验较丰富，分工较合理，能够</w:t>
            </w:r>
            <w:r>
              <w:rPr>
                <w:rFonts w:hint="default" w:ascii="Times New Roman" w:hAnsi="Times New Roman" w:eastAsia="宋体" w:cs="Times New Roman"/>
                <w:snapToGrid w:val="0"/>
                <w:kern w:val="0"/>
                <w:sz w:val="22"/>
                <w:szCs w:val="22"/>
              </w:rPr>
              <w:t>附团队人员名单、类似项目经验说明材料</w:t>
            </w:r>
            <w:r>
              <w:rPr>
                <w:rFonts w:hint="eastAsia" w:cs="Times New Roman"/>
                <w:snapToGrid w:val="0"/>
                <w:kern w:val="0"/>
                <w:sz w:val="22"/>
                <w:szCs w:val="22"/>
                <w:lang w:val="en-US" w:eastAsia="zh-CN"/>
              </w:rPr>
              <w:t>的</w:t>
            </w:r>
            <w:r>
              <w:rPr>
                <w:rFonts w:hint="default" w:ascii="Times New Roman" w:hAnsi="Times New Roman" w:eastAsia="宋体" w:cs="Times New Roman"/>
                <w:bCs/>
                <w:iCs/>
                <w:sz w:val="22"/>
                <w:szCs w:val="22"/>
                <w:lang w:eastAsia="zh-CN"/>
              </w:rPr>
              <w:t>，</w:t>
            </w:r>
            <w:r>
              <w:rPr>
                <w:rFonts w:hint="default" w:ascii="Times New Roman" w:hAnsi="Times New Roman" w:eastAsia="宋体" w:cs="Times New Roman"/>
                <w:bCs/>
                <w:iCs/>
                <w:sz w:val="22"/>
                <w:szCs w:val="22"/>
                <w:lang w:val="en-US" w:eastAsia="zh-CN"/>
              </w:rPr>
              <w:t>得</w:t>
            </w:r>
            <w:r>
              <w:rPr>
                <w:rFonts w:hint="eastAsia" w:cs="Times New Roman"/>
                <w:kern w:val="0"/>
                <w:sz w:val="22"/>
                <w:szCs w:val="22"/>
                <w:lang w:val="en-US" w:eastAsia="zh-CN"/>
              </w:rPr>
              <w:t>4-7</w:t>
            </w:r>
            <w:r>
              <w:rPr>
                <w:rFonts w:hint="default" w:ascii="Times New Roman" w:hAnsi="Times New Roman" w:eastAsia="宋体" w:cs="Times New Roman"/>
                <w:kern w:val="0"/>
                <w:sz w:val="22"/>
                <w:szCs w:val="22"/>
              </w:rPr>
              <w:t>分；</w:t>
            </w:r>
          </w:p>
          <w:p>
            <w:pPr>
              <w:spacing w:line="360" w:lineRule="auto"/>
              <w:rPr>
                <w:rFonts w:hint="default" w:ascii="Times New Roman" w:hAnsi="Times New Roman" w:eastAsia="宋体" w:cs="Times New Roman"/>
                <w:kern w:val="0"/>
                <w:sz w:val="22"/>
                <w:szCs w:val="22"/>
              </w:rPr>
            </w:pPr>
            <w:r>
              <w:rPr>
                <w:rFonts w:hint="eastAsia" w:ascii="Times New Roman" w:hAnsi="Times New Roman" w:cs="Times New Roman"/>
                <w:bCs/>
                <w:iCs/>
                <w:sz w:val="22"/>
                <w:szCs w:val="22"/>
                <w:lang w:val="en-US" w:eastAsia="zh-CN"/>
              </w:rPr>
              <w:t>（3）</w:t>
            </w:r>
            <w:r>
              <w:rPr>
                <w:rFonts w:hint="default" w:ascii="Times New Roman" w:hAnsi="Times New Roman" w:eastAsia="宋体" w:cs="Times New Roman"/>
                <w:bCs/>
                <w:iCs/>
                <w:sz w:val="22"/>
                <w:szCs w:val="22"/>
                <w:lang w:val="en-US" w:eastAsia="zh-CN"/>
              </w:rPr>
              <w:t>人员</w:t>
            </w:r>
            <w:r>
              <w:rPr>
                <w:rFonts w:hint="default" w:ascii="Times New Roman" w:hAnsi="Times New Roman" w:eastAsia="宋体" w:cs="Times New Roman"/>
                <w:bCs/>
                <w:iCs/>
                <w:sz w:val="22"/>
                <w:szCs w:val="22"/>
              </w:rPr>
              <w:t>安排较合理、配备较充足，分工较合理，但专业性较弱，能够</w:t>
            </w:r>
            <w:r>
              <w:rPr>
                <w:rFonts w:hint="default" w:ascii="Times New Roman" w:hAnsi="Times New Roman" w:eastAsia="宋体" w:cs="Times New Roman"/>
                <w:snapToGrid w:val="0"/>
                <w:kern w:val="0"/>
                <w:sz w:val="22"/>
                <w:szCs w:val="22"/>
              </w:rPr>
              <w:t>附团队人员名单、类似项目经验说明材料有欠缺</w:t>
            </w:r>
            <w:r>
              <w:rPr>
                <w:rFonts w:hint="eastAsia" w:cs="Times New Roman"/>
                <w:snapToGrid w:val="0"/>
                <w:kern w:val="0"/>
                <w:sz w:val="22"/>
                <w:szCs w:val="22"/>
                <w:lang w:val="en-US" w:eastAsia="zh-CN"/>
              </w:rPr>
              <w:t>的</w:t>
            </w:r>
            <w:r>
              <w:rPr>
                <w:rFonts w:hint="default" w:ascii="Times New Roman" w:hAnsi="Times New Roman" w:eastAsia="宋体" w:cs="Times New Roman"/>
                <w:bCs/>
                <w:iCs/>
                <w:sz w:val="22"/>
                <w:szCs w:val="22"/>
                <w:lang w:eastAsia="zh-CN"/>
              </w:rPr>
              <w:t>，</w:t>
            </w:r>
            <w:r>
              <w:rPr>
                <w:rFonts w:hint="default" w:ascii="Times New Roman" w:hAnsi="Times New Roman" w:eastAsia="宋体" w:cs="Times New Roman"/>
                <w:bCs/>
                <w:iCs/>
                <w:sz w:val="22"/>
                <w:szCs w:val="22"/>
                <w:lang w:val="en-US" w:eastAsia="zh-CN"/>
              </w:rPr>
              <w:t>得</w:t>
            </w:r>
            <w:r>
              <w:rPr>
                <w:rFonts w:hint="eastAsia" w:cs="Times New Roman"/>
                <w:kern w:val="0"/>
                <w:sz w:val="22"/>
                <w:szCs w:val="22"/>
                <w:lang w:val="en-US" w:eastAsia="zh-CN"/>
              </w:rPr>
              <w:t>1-3</w:t>
            </w:r>
            <w:r>
              <w:rPr>
                <w:rFonts w:hint="default" w:ascii="Times New Roman" w:hAnsi="Times New Roman" w:eastAsia="宋体" w:cs="Times New Roman"/>
                <w:kern w:val="0"/>
                <w:sz w:val="22"/>
                <w:szCs w:val="22"/>
              </w:rPr>
              <w:t>分；</w:t>
            </w:r>
          </w:p>
          <w:p>
            <w:pPr>
              <w:spacing w:line="360" w:lineRule="auto"/>
              <w:rPr>
                <w:rFonts w:hint="default" w:ascii="Times New Roman" w:hAnsi="Times New Roman" w:eastAsia="宋体" w:cs="Times New Roman"/>
                <w:bCs/>
                <w:iCs/>
                <w:kern w:val="2"/>
                <w:sz w:val="22"/>
                <w:szCs w:val="22"/>
                <w:lang w:val="en-US" w:eastAsia="zh-CN" w:bidi="ar-SA"/>
              </w:rPr>
            </w:pPr>
            <w:r>
              <w:rPr>
                <w:rFonts w:hint="eastAsia" w:ascii="Times New Roman" w:hAnsi="Times New Roman" w:cs="Times New Roman"/>
                <w:bCs/>
                <w:iCs/>
                <w:sz w:val="22"/>
                <w:szCs w:val="22"/>
                <w:lang w:eastAsia="zh-CN"/>
              </w:rPr>
              <w:t>（</w:t>
            </w:r>
            <w:r>
              <w:rPr>
                <w:rFonts w:hint="eastAsia" w:ascii="Times New Roman" w:hAnsi="Times New Roman" w:cs="Times New Roman"/>
                <w:bCs/>
                <w:iCs/>
                <w:sz w:val="22"/>
                <w:szCs w:val="22"/>
                <w:lang w:val="en-US" w:eastAsia="zh-CN"/>
              </w:rPr>
              <w:t>4</w:t>
            </w:r>
            <w:r>
              <w:rPr>
                <w:rFonts w:hint="eastAsia" w:ascii="Times New Roman" w:hAnsi="Times New Roman" w:cs="Times New Roman"/>
                <w:bCs/>
                <w:iCs/>
                <w:sz w:val="22"/>
                <w:szCs w:val="22"/>
                <w:lang w:eastAsia="zh-CN"/>
              </w:rPr>
              <w:t>）</w:t>
            </w:r>
            <w:r>
              <w:rPr>
                <w:rFonts w:hint="default" w:ascii="Times New Roman" w:hAnsi="Times New Roman" w:eastAsia="宋体" w:cs="Times New Roman"/>
                <w:bCs/>
                <w:iCs/>
                <w:sz w:val="22"/>
                <w:szCs w:val="22"/>
              </w:rPr>
              <w:t>未提供</w:t>
            </w:r>
            <w:r>
              <w:rPr>
                <w:rFonts w:hint="eastAsia" w:cs="Times New Roman"/>
                <w:bCs/>
                <w:iCs/>
                <w:sz w:val="22"/>
                <w:szCs w:val="22"/>
                <w:lang w:val="en-US" w:eastAsia="zh-CN"/>
              </w:rPr>
              <w:t>不得分</w:t>
            </w:r>
            <w:r>
              <w:rPr>
                <w:rFonts w:hint="default" w:ascii="Times New Roman" w:hAnsi="Times New Roman" w:eastAsia="宋体" w:cs="Times New Roman"/>
                <w:bCs/>
                <w:iC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质量保障措施</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eastAsia" w:cs="Times New Roman"/>
                <w:sz w:val="22"/>
                <w:szCs w:val="22"/>
                <w:highlight w:val="none"/>
                <w:lang w:val="en-US" w:eastAsia="zh-CN"/>
              </w:rPr>
              <w:t>5</w:t>
            </w:r>
            <w:r>
              <w:rPr>
                <w:rFonts w:hint="default" w:ascii="Times New Roman" w:hAnsi="Times New Roman" w:eastAsia="宋体" w:cs="Times New Roman"/>
                <w:sz w:val="22"/>
                <w:szCs w:val="22"/>
                <w:highlight w:val="none"/>
              </w:rPr>
              <w:t>分</w:t>
            </w:r>
          </w:p>
        </w:tc>
        <w:tc>
          <w:tcPr>
            <w:tcW w:w="3077" w:type="pct"/>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投标人应具备规范完善的质量保障措施，保证</w:t>
            </w:r>
            <w:r>
              <w:rPr>
                <w:rFonts w:hint="eastAsia" w:ascii="Times New Roman" w:hAnsi="Times New Roman" w:cs="Times New Roman"/>
                <w:sz w:val="22"/>
                <w:szCs w:val="22"/>
                <w:lang w:val="en-US" w:eastAsia="zh-CN"/>
              </w:rPr>
              <w:t>项目</w:t>
            </w:r>
            <w:r>
              <w:rPr>
                <w:rFonts w:hint="default" w:ascii="Times New Roman" w:hAnsi="Times New Roman" w:eastAsia="宋体" w:cs="Times New Roman"/>
                <w:sz w:val="22"/>
                <w:szCs w:val="22"/>
              </w:rPr>
              <w:t>高质高效顺利进行。</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（1）保障措施内容完善、合理可行，具有开展工作的必备条件，能够有效落实工作的，得</w:t>
            </w:r>
            <w:r>
              <w:rPr>
                <w:rFonts w:hint="eastAsia" w:ascii="Times New Roman" w:hAnsi="Times New Roman" w:cs="Times New Roman"/>
                <w:sz w:val="22"/>
                <w:szCs w:val="22"/>
                <w:lang w:val="en-US" w:eastAsia="zh-CN"/>
              </w:rPr>
              <w:t>7</w:t>
            </w:r>
            <w:r>
              <w:rPr>
                <w:rFonts w:hint="default" w:ascii="Times New Roman" w:hAnsi="Times New Roman" w:eastAsia="宋体" w:cs="Times New Roman"/>
                <w:sz w:val="22"/>
                <w:szCs w:val="22"/>
                <w:lang w:val="en-US" w:eastAsia="zh-CN"/>
              </w:rPr>
              <w:t>分</w:t>
            </w:r>
            <w:r>
              <w:rPr>
                <w:rFonts w:hint="default" w:ascii="Times New Roman" w:hAnsi="Times New Roman" w:eastAsia="宋体" w:cs="Times New Roman"/>
                <w:sz w:val="22"/>
                <w:szCs w:val="22"/>
              </w:rPr>
              <w:t>；</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（2）保障措施内容较完善、合理可行性较强，开展工作的条件较完备，能够较好落实工作的，得</w:t>
            </w:r>
            <w:r>
              <w:rPr>
                <w:rFonts w:hint="eastAsia" w:ascii="Times New Roman" w:hAnsi="Times New Roman" w:cs="Times New Roman"/>
                <w:sz w:val="22"/>
                <w:szCs w:val="22"/>
                <w:lang w:val="en-US" w:eastAsia="zh-CN"/>
              </w:rPr>
              <w:t>5</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（3）保障措施内容及合理可行性一般，开展工作的条件一般，工作落实情况一般的，得</w:t>
            </w:r>
            <w:r>
              <w:rPr>
                <w:rFonts w:hint="eastAsia" w:ascii="Times New Roman" w:hAnsi="Times New Roman" w:cs="Times New Roman"/>
                <w:sz w:val="22"/>
                <w:szCs w:val="22"/>
                <w:lang w:val="en-US" w:eastAsia="zh-CN"/>
              </w:rPr>
              <w:t>3</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（4）保障措施欠缺，开展工作的条件不完备，难以落实工作的，得</w:t>
            </w:r>
            <w:r>
              <w:rPr>
                <w:rFonts w:hint="eastAsia" w:ascii="Times New Roman" w:hAnsi="Times New Roman" w:cs="Times New Roman"/>
                <w:sz w:val="22"/>
                <w:szCs w:val="22"/>
                <w:lang w:val="en-US" w:eastAsia="zh-CN"/>
              </w:rPr>
              <w:t>1</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vAlign w:val="center"/>
          </w:tcPr>
          <w:p>
            <w:pPr>
              <w:keepNext w:val="0"/>
              <w:keepLines w:val="0"/>
              <w:pageBreakBefore w:val="0"/>
              <w:topLinePunct w:val="0"/>
              <w:bidi w:val="0"/>
              <w:adjustRightInd w:val="0"/>
              <w:snapToGrid w:val="0"/>
              <w:spacing w:line="360" w:lineRule="auto"/>
              <w:jc w:val="center"/>
              <w:rPr>
                <w:rFonts w:hint="eastAsia"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培训</w:t>
            </w:r>
          </w:p>
          <w:p>
            <w:pPr>
              <w:keepNext w:val="0"/>
              <w:keepLines w:val="0"/>
              <w:pageBreakBefore w:val="0"/>
              <w:topLinePunct w:val="0"/>
              <w:bidi w:val="0"/>
              <w:adjustRightInd w:val="0"/>
              <w:snapToGrid w:val="0"/>
              <w:spacing w:line="360" w:lineRule="auto"/>
              <w:jc w:val="center"/>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方案</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5分</w:t>
            </w:r>
          </w:p>
        </w:tc>
        <w:tc>
          <w:tcPr>
            <w:tcW w:w="3077" w:type="pct"/>
            <w:vAlign w:val="center"/>
          </w:tcPr>
          <w:p>
            <w:pPr>
              <w:spacing w:line="360" w:lineRule="auto"/>
              <w:rPr>
                <w:rFonts w:hint="default" w:ascii="Times New Roman" w:hAnsi="Times New Roman" w:eastAsia="宋体" w:cs="Times New Roman"/>
                <w:bCs/>
                <w:iCs/>
                <w:sz w:val="22"/>
                <w:szCs w:val="22"/>
                <w:lang w:val="en-US" w:eastAsia="zh-CN"/>
              </w:rPr>
            </w:pPr>
            <w:r>
              <w:rPr>
                <w:rFonts w:hint="eastAsia" w:ascii="Times New Roman" w:hAnsi="Times New Roman" w:cs="Times New Roman"/>
                <w:bCs/>
                <w:iCs/>
                <w:sz w:val="22"/>
                <w:szCs w:val="22"/>
                <w:lang w:val="en-US" w:eastAsia="zh-CN"/>
              </w:rPr>
              <w:t>（1）</w:t>
            </w:r>
            <w:r>
              <w:rPr>
                <w:rFonts w:hint="default" w:ascii="Times New Roman" w:hAnsi="Times New Roman" w:eastAsia="宋体" w:cs="Times New Roman"/>
                <w:bCs/>
                <w:iCs/>
                <w:sz w:val="22"/>
                <w:szCs w:val="22"/>
                <w:lang w:val="en-US" w:eastAsia="zh-CN"/>
              </w:rPr>
              <w:t>培训方案科学、受众适用性强，培训内容完整合理、培训安排设计合理，完全满足采购需求</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，得5分；</w:t>
            </w:r>
          </w:p>
          <w:p>
            <w:pPr>
              <w:spacing w:line="360" w:lineRule="auto"/>
              <w:rPr>
                <w:rFonts w:hint="default" w:ascii="Times New Roman" w:hAnsi="Times New Roman" w:eastAsia="宋体" w:cs="Times New Roman"/>
                <w:bCs/>
                <w:iCs/>
                <w:sz w:val="22"/>
                <w:szCs w:val="22"/>
                <w:lang w:val="en-US" w:eastAsia="zh-CN"/>
              </w:rPr>
            </w:pPr>
            <w:r>
              <w:rPr>
                <w:rFonts w:hint="eastAsia" w:ascii="Times New Roman" w:hAnsi="Times New Roman" w:cs="Times New Roman"/>
                <w:bCs/>
                <w:iCs/>
                <w:sz w:val="22"/>
                <w:szCs w:val="22"/>
                <w:lang w:val="en-US" w:eastAsia="zh-CN"/>
              </w:rPr>
              <w:t>（2）</w:t>
            </w:r>
            <w:r>
              <w:rPr>
                <w:rFonts w:hint="default" w:ascii="Times New Roman" w:hAnsi="Times New Roman" w:eastAsia="宋体" w:cs="Times New Roman"/>
                <w:bCs/>
                <w:iCs/>
                <w:sz w:val="22"/>
                <w:szCs w:val="22"/>
                <w:lang w:val="en-US" w:eastAsia="zh-CN"/>
              </w:rPr>
              <w:t>培训方案较科学、受众适用性较强，培训内容较为完整合理、培训安排设计较合理，基本满足采购需求</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，得3分；</w:t>
            </w:r>
          </w:p>
          <w:p>
            <w:pPr>
              <w:spacing w:line="360" w:lineRule="auto"/>
              <w:rPr>
                <w:rFonts w:hint="default" w:ascii="Times New Roman" w:hAnsi="Times New Roman" w:eastAsia="宋体" w:cs="Times New Roman"/>
                <w:bCs/>
                <w:iCs/>
                <w:sz w:val="22"/>
                <w:szCs w:val="22"/>
                <w:lang w:val="en-US" w:eastAsia="zh-CN"/>
              </w:rPr>
            </w:pPr>
            <w:r>
              <w:rPr>
                <w:rFonts w:hint="eastAsia" w:ascii="Times New Roman" w:hAnsi="Times New Roman" w:cs="Times New Roman"/>
                <w:bCs/>
                <w:iCs/>
                <w:sz w:val="22"/>
                <w:szCs w:val="22"/>
                <w:lang w:val="en-US" w:eastAsia="zh-CN"/>
              </w:rPr>
              <w:t>（3）</w:t>
            </w:r>
            <w:r>
              <w:rPr>
                <w:rFonts w:hint="default" w:ascii="Times New Roman" w:hAnsi="Times New Roman" w:eastAsia="宋体" w:cs="Times New Roman"/>
                <w:bCs/>
                <w:iCs/>
                <w:sz w:val="22"/>
                <w:szCs w:val="22"/>
                <w:lang w:val="en-US" w:eastAsia="zh-CN"/>
              </w:rPr>
              <w:t>培训方案有欠缺，培训方法受众适用性不具有普遍性，培训安排不够妥当，无法完全满足采购需求</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，得1分；</w:t>
            </w:r>
          </w:p>
          <w:p>
            <w:pPr>
              <w:spacing w:line="360" w:lineRule="auto"/>
              <w:rPr>
                <w:rFonts w:hint="default" w:ascii="Times New Roman" w:hAnsi="Times New Roman" w:eastAsia="宋体" w:cs="Times New Roman"/>
                <w:bCs/>
                <w:iCs/>
                <w:kern w:val="2"/>
                <w:sz w:val="22"/>
                <w:szCs w:val="22"/>
                <w:lang w:val="en-US" w:eastAsia="zh-CN" w:bidi="ar-SA"/>
              </w:rPr>
            </w:pPr>
            <w:r>
              <w:rPr>
                <w:rFonts w:hint="eastAsia" w:ascii="Times New Roman" w:hAnsi="Times New Roman" w:cs="Times New Roman"/>
                <w:bCs/>
                <w:iCs/>
                <w:sz w:val="22"/>
                <w:szCs w:val="22"/>
                <w:lang w:val="en-US" w:eastAsia="zh-CN"/>
              </w:rPr>
              <w:t>（4）</w:t>
            </w:r>
            <w:r>
              <w:rPr>
                <w:rFonts w:hint="default" w:ascii="Times New Roman" w:hAnsi="Times New Roman" w:eastAsia="宋体" w:cs="Times New Roman"/>
                <w:bCs/>
                <w:iCs/>
                <w:sz w:val="22"/>
                <w:szCs w:val="22"/>
                <w:lang w:val="en-US" w:eastAsia="zh-CN"/>
              </w:rPr>
              <w:t>培训方案、培训方法不合理，培训安排不合理，不能满足采购需求或无培训方案</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vAlign w:val="center"/>
          </w:tcPr>
          <w:p>
            <w:pPr>
              <w:keepNext w:val="0"/>
              <w:keepLines w:val="0"/>
              <w:pageBreakBefore w:val="0"/>
              <w:topLinePunct w:val="0"/>
              <w:bidi w:val="0"/>
              <w:adjustRightInd w:val="0"/>
              <w:snapToGrid w:val="0"/>
              <w:spacing w:line="360" w:lineRule="auto"/>
              <w:jc w:val="center"/>
              <w:rPr>
                <w:rFonts w:hint="default" w:ascii="Times New Roman" w:hAnsi="Times New Roman" w:eastAsia="宋体" w:cs="Times New Roman"/>
                <w:color w:val="000000" w:themeColor="text1"/>
                <w:sz w:val="22"/>
                <w:szCs w:val="22"/>
                <w:highlight w:val="none"/>
                <w14:textFill>
                  <w14:solidFill>
                    <w14:schemeClr w14:val="tx1"/>
                  </w14:solidFill>
                </w14:textFill>
              </w:rPr>
            </w:pPr>
            <w:r>
              <w:rPr>
                <w:rFonts w:hint="default" w:ascii="Times New Roman" w:hAnsi="Times New Roman" w:eastAsia="宋体" w:cs="Times New Roman"/>
                <w:color w:val="000000" w:themeColor="text1"/>
                <w:sz w:val="22"/>
                <w:szCs w:val="22"/>
                <w:highlight w:val="none"/>
                <w14:textFill>
                  <w14:solidFill>
                    <w14:schemeClr w14:val="tx1"/>
                  </w14:solidFill>
                </w14:textFill>
              </w:rPr>
              <w:t>服务</w:t>
            </w:r>
          </w:p>
          <w:p>
            <w:pPr>
              <w:keepNext w:val="0"/>
              <w:keepLines w:val="0"/>
              <w:pageBreakBefore w:val="0"/>
              <w:topLinePunct w:val="0"/>
              <w:bidi w:val="0"/>
              <w:adjustRightInd w:val="0"/>
              <w:snapToGrid w:val="0"/>
              <w:spacing w:line="360" w:lineRule="auto"/>
              <w:jc w:val="center"/>
              <w:rPr>
                <w:rFonts w:hint="default" w:ascii="Times New Roman" w:hAnsi="Times New Roman" w:eastAsia="宋体" w:cs="Times New Roman"/>
                <w:color w:val="000000" w:themeColor="text1"/>
                <w:sz w:val="22"/>
                <w:szCs w:val="22"/>
                <w:highlight w:val="none"/>
                <w14:textFill>
                  <w14:solidFill>
                    <w14:schemeClr w14:val="tx1"/>
                  </w14:solidFill>
                </w14:textFill>
              </w:rPr>
            </w:pPr>
            <w:r>
              <w:rPr>
                <w:rFonts w:hint="default" w:ascii="Times New Roman" w:hAnsi="Times New Roman" w:eastAsia="宋体" w:cs="Times New Roman"/>
                <w:color w:val="000000" w:themeColor="text1"/>
                <w:sz w:val="22"/>
                <w:szCs w:val="22"/>
                <w:highlight w:val="none"/>
                <w14:textFill>
                  <w14:solidFill>
                    <w14:schemeClr w14:val="tx1"/>
                  </w14:solidFill>
                </w14:textFill>
              </w:rPr>
              <w:t>承诺</w:t>
            </w:r>
          </w:p>
        </w:tc>
        <w:tc>
          <w:tcPr>
            <w:tcW w:w="37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color w:val="000000" w:themeColor="text1"/>
                <w:sz w:val="22"/>
                <w:szCs w:val="22"/>
                <w:highlight w:val="none"/>
                <w:lang w:val="en-US" w:eastAsia="zh-CN"/>
                <w14:textFill>
                  <w14:solidFill>
                    <w14:schemeClr w14:val="tx1"/>
                  </w14:solidFill>
                </w14:textFill>
              </w:rPr>
            </w:pPr>
            <w:r>
              <w:rPr>
                <w:rFonts w:hint="eastAsia"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2"/>
                <w:szCs w:val="22"/>
                <w:highlight w:val="none"/>
                <w:lang w:val="en-US" w:eastAsia="zh-CN"/>
                <w14:textFill>
                  <w14:solidFill>
                    <w14:schemeClr w14:val="tx1"/>
                  </w14:solidFill>
                </w14:textFill>
              </w:rPr>
              <w:t>分</w:t>
            </w:r>
          </w:p>
        </w:tc>
        <w:tc>
          <w:tcPr>
            <w:tcW w:w="3077" w:type="pct"/>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（1）服务承诺全面完善，科学合理，可行性和针对性强的，得</w:t>
            </w:r>
            <w:r>
              <w:rPr>
                <w:rFonts w:hint="eastAsia" w:cs="Times New Roman"/>
                <w:color w:val="000000" w:themeColor="text1"/>
                <w:sz w:val="22"/>
                <w:szCs w:val="22"/>
                <w:lang w:val="en-US" w:eastAsia="zh-CN"/>
                <w14:textFill>
                  <w14:solidFill>
                    <w14:schemeClr w14:val="tx1"/>
                  </w14:solidFill>
                </w14:textFill>
              </w:rPr>
              <w:t>8-10</w:t>
            </w:r>
            <w:r>
              <w:rPr>
                <w:rFonts w:hint="default" w:ascii="Times New Roman" w:hAnsi="Times New Roman" w:eastAsia="宋体" w:cs="Times New Roman"/>
                <w:color w:val="000000" w:themeColor="text1"/>
                <w:sz w:val="22"/>
                <w:szCs w:val="22"/>
                <w14:textFill>
                  <w14:solidFill>
                    <w14:schemeClr w14:val="tx1"/>
                  </w14:solidFill>
                </w14:textFill>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w:t>
            </w:r>
            <w:r>
              <w:rPr>
                <w:rFonts w:hint="eastAsia" w:ascii="Times New Roman" w:hAnsi="Times New Roman" w:cs="Times New Roman"/>
                <w:color w:val="000000" w:themeColor="text1"/>
                <w:sz w:val="22"/>
                <w:szCs w:val="22"/>
                <w:lang w:val="en-US" w:eastAsia="zh-CN"/>
                <w14:textFill>
                  <w14:solidFill>
                    <w14:schemeClr w14:val="tx1"/>
                  </w14:solidFill>
                </w14:textFill>
              </w:rPr>
              <w:t>2</w:t>
            </w:r>
            <w:r>
              <w:rPr>
                <w:rFonts w:hint="default" w:ascii="Times New Roman" w:hAnsi="Times New Roman" w:eastAsia="宋体" w:cs="Times New Roman"/>
                <w:color w:val="000000" w:themeColor="text1"/>
                <w:sz w:val="22"/>
                <w:szCs w:val="22"/>
                <w14:textFill>
                  <w14:solidFill>
                    <w14:schemeClr w14:val="tx1"/>
                  </w14:solidFill>
                </w14:textFill>
              </w:rPr>
              <w:t>）服务承诺内容一般，科学合理性、可行性和针对性一般的，得</w:t>
            </w:r>
            <w:r>
              <w:rPr>
                <w:rFonts w:hint="eastAsia" w:cs="Times New Roman"/>
                <w:color w:val="000000" w:themeColor="text1"/>
                <w:sz w:val="22"/>
                <w:szCs w:val="22"/>
                <w:lang w:val="en-US" w:eastAsia="zh-CN"/>
                <w14:textFill>
                  <w14:solidFill>
                    <w14:schemeClr w14:val="tx1"/>
                  </w14:solidFill>
                </w14:textFill>
              </w:rPr>
              <w:t>4-7</w:t>
            </w:r>
            <w:r>
              <w:rPr>
                <w:rFonts w:hint="default" w:ascii="Times New Roman" w:hAnsi="Times New Roman" w:eastAsia="宋体" w:cs="Times New Roman"/>
                <w:color w:val="000000" w:themeColor="text1"/>
                <w:sz w:val="22"/>
                <w:szCs w:val="22"/>
                <w14:textFill>
                  <w14:solidFill>
                    <w14:schemeClr w14:val="tx1"/>
                  </w14:solidFill>
                </w14:textFill>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w:t>
            </w:r>
            <w:r>
              <w:rPr>
                <w:rFonts w:hint="eastAsia" w:ascii="Times New Roman" w:hAnsi="Times New Roman" w:cs="Times New Roman"/>
                <w:color w:val="000000" w:themeColor="text1"/>
                <w:sz w:val="22"/>
                <w:szCs w:val="22"/>
                <w:lang w:val="en-US" w:eastAsia="zh-CN"/>
                <w14:textFill>
                  <w14:solidFill>
                    <w14:schemeClr w14:val="tx1"/>
                  </w14:solidFill>
                </w14:textFill>
              </w:rPr>
              <w:t>3</w:t>
            </w:r>
            <w:r>
              <w:rPr>
                <w:rFonts w:hint="default" w:ascii="Times New Roman" w:hAnsi="Times New Roman" w:eastAsia="宋体" w:cs="Times New Roman"/>
                <w:color w:val="000000" w:themeColor="text1"/>
                <w:sz w:val="22"/>
                <w:szCs w:val="22"/>
                <w14:textFill>
                  <w14:solidFill>
                    <w14:schemeClr w14:val="tx1"/>
                  </w14:solidFill>
                </w14:textFill>
              </w:rPr>
              <w:t>）服务承诺内容有欠缺，合理性、可行性和针对性差的，得</w:t>
            </w:r>
            <w:r>
              <w:rPr>
                <w:rFonts w:hint="eastAsia" w:ascii="Times New Roman" w:hAnsi="Times New Roman" w:cs="Times New Roman"/>
                <w:color w:val="000000" w:themeColor="text1"/>
                <w:sz w:val="22"/>
                <w:szCs w:val="22"/>
                <w:lang w:val="en-US" w:eastAsia="zh-CN"/>
                <w14:textFill>
                  <w14:solidFill>
                    <w14:schemeClr w14:val="tx1"/>
                  </w14:solidFill>
                </w14:textFill>
              </w:rPr>
              <w:t>1</w:t>
            </w:r>
            <w:r>
              <w:rPr>
                <w:rFonts w:hint="eastAsia" w:cs="Times New Roman"/>
                <w:color w:val="000000" w:themeColor="text1"/>
                <w:sz w:val="22"/>
                <w:szCs w:val="22"/>
                <w:lang w:val="en-US" w:eastAsia="zh-CN"/>
                <w14:textFill>
                  <w14:solidFill>
                    <w14:schemeClr w14:val="tx1"/>
                  </w14:solidFill>
                </w14:textFill>
              </w:rPr>
              <w:t>-3</w:t>
            </w:r>
            <w:r>
              <w:rPr>
                <w:rFonts w:hint="default" w:ascii="Times New Roman" w:hAnsi="Times New Roman" w:eastAsia="宋体" w:cs="Times New Roman"/>
                <w:color w:val="000000" w:themeColor="text1"/>
                <w:sz w:val="22"/>
                <w:szCs w:val="22"/>
                <w14:textFill>
                  <w14:solidFill>
                    <w14:schemeClr w14:val="tx1"/>
                  </w14:solidFill>
                </w14:textFill>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w:t>
            </w:r>
            <w:r>
              <w:rPr>
                <w:rFonts w:hint="eastAsia" w:ascii="Times New Roman" w:hAnsi="Times New Roman" w:cs="Times New Roman"/>
                <w:color w:val="000000" w:themeColor="text1"/>
                <w:sz w:val="22"/>
                <w:szCs w:val="22"/>
                <w:lang w:val="en-US" w:eastAsia="zh-CN"/>
                <w14:textFill>
                  <w14:solidFill>
                    <w14:schemeClr w14:val="tx1"/>
                  </w14:solidFill>
                </w14:textFill>
              </w:rPr>
              <w:t>4</w:t>
            </w:r>
            <w:r>
              <w:rPr>
                <w:rFonts w:hint="default" w:ascii="Times New Roman" w:hAnsi="Times New Roman" w:eastAsia="宋体" w:cs="Times New Roman"/>
                <w:color w:val="000000" w:themeColor="text1"/>
                <w:sz w:val="22"/>
                <w:szCs w:val="22"/>
                <w14:textFill>
                  <w14:solidFill>
                    <w14:schemeClr w14:val="tx1"/>
                  </w14:solidFill>
                </w14:textFill>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3</w:t>
            </w:r>
          </w:p>
        </w:tc>
        <w:tc>
          <w:tcPr>
            <w:tcW w:w="615" w:type="pct"/>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价格</w:t>
            </w:r>
          </w:p>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w:t>
            </w:r>
            <w:r>
              <w:rPr>
                <w:rFonts w:hint="eastAsia" w:cs="Times New Roman"/>
                <w:sz w:val="22"/>
                <w:szCs w:val="22"/>
                <w:highlight w:val="none"/>
                <w:lang w:val="en-US" w:eastAsia="zh-CN"/>
              </w:rPr>
              <w:t>30</w:t>
            </w:r>
            <w:r>
              <w:rPr>
                <w:rFonts w:hint="default" w:ascii="Times New Roman" w:hAnsi="Times New Roman" w:eastAsia="宋体" w:cs="Times New Roman"/>
                <w:sz w:val="22"/>
                <w:szCs w:val="22"/>
                <w:highlight w:val="none"/>
              </w:rPr>
              <w:t>分）</w:t>
            </w:r>
          </w:p>
        </w:tc>
        <w:tc>
          <w:tcPr>
            <w:tcW w:w="4025" w:type="pct"/>
            <w:gridSpan w:val="3"/>
            <w:vAlign w:val="center"/>
          </w:tcPr>
          <w:p>
            <w:pPr>
              <w:keepNext w:val="0"/>
              <w:keepLines w:val="0"/>
              <w:pageBreakBefore w:val="0"/>
              <w:topLinePunct w:val="0"/>
              <w:bidi w:val="0"/>
              <w:spacing w:line="360" w:lineRule="auto"/>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评标基准价=满足招标文件要求且最低的评标价格</w:t>
            </w:r>
          </w:p>
          <w:p>
            <w:pPr>
              <w:keepNext w:val="0"/>
              <w:keepLines w:val="0"/>
              <w:pageBreakBefore w:val="0"/>
              <w:topLinePunct w:val="0"/>
              <w:bidi w:val="0"/>
              <w:spacing w:line="360" w:lineRule="auto"/>
              <w:jc w:val="left"/>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rPr>
              <w:t>合格投标人的有效价格得分=（评标基准价/评标价格）×</w:t>
            </w:r>
            <w:r>
              <w:rPr>
                <w:rFonts w:hint="eastAsia" w:cs="Times New Roman"/>
                <w:sz w:val="22"/>
                <w:szCs w:val="22"/>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pPr>
              <w:keepNext w:val="0"/>
              <w:keepLines w:val="0"/>
              <w:pageBreakBefore w:val="0"/>
              <w:topLinePunct w:val="0"/>
              <w:bidi w:val="0"/>
              <w:spacing w:line="360" w:lineRule="auto"/>
              <w:ind w:left="71" w:leftChars="34" w:firstLine="1"/>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b/>
                <w:bCs/>
                <w:sz w:val="22"/>
                <w:szCs w:val="22"/>
                <w:highlight w:val="none"/>
              </w:rPr>
              <w:t>合计100分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00000000"/>
    <w:rsid w:val="0F6812D4"/>
    <w:rsid w:val="10C8582D"/>
    <w:rsid w:val="151D7B6F"/>
    <w:rsid w:val="2E850643"/>
    <w:rsid w:val="43B10019"/>
    <w:rsid w:val="6D491397"/>
    <w:rsid w:val="71A8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2023-11-17T03:27:00Z</dcterms:created>
  <dc:creator>q6</dc:creator>
  <cp:lastModifiedBy>张 志 明.</cp:lastModifiedBy>
  <dcterms:modified xsi:type="dcterms:W3CDTF">2023-11-24T00:14:15Z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F1674E26146A48F6A99E00764E1C3B32_13</vt:lpwstr>
  </property>
</Properties>
</file>