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42" w:rsidRPr="00022102" w:rsidRDefault="00E46042">
      <w:pPr>
        <w:rPr>
          <w:color w:val="000000" w:themeColor="text1"/>
        </w:rPr>
      </w:pPr>
    </w:p>
    <w:p w:rsidR="00E46042" w:rsidRPr="00022102" w:rsidRDefault="00022102">
      <w:pPr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022102">
        <w:rPr>
          <w:rFonts w:ascii="宋体" w:eastAsia="宋体" w:hAnsi="宋体" w:hint="eastAsia"/>
          <w:color w:val="000000" w:themeColor="text1"/>
          <w:sz w:val="28"/>
          <w:szCs w:val="28"/>
        </w:rPr>
        <w:t>动环监控系统</w:t>
      </w:r>
      <w:r w:rsidR="008C3A24">
        <w:rPr>
          <w:rFonts w:ascii="宋体" w:eastAsia="宋体" w:hAnsi="宋体" w:hint="eastAsia"/>
          <w:color w:val="000000" w:themeColor="text1"/>
          <w:sz w:val="28"/>
          <w:szCs w:val="28"/>
        </w:rPr>
        <w:t>采购</w:t>
      </w:r>
      <w:r w:rsidR="001470E8" w:rsidRPr="00022102">
        <w:rPr>
          <w:rFonts w:ascii="宋体" w:eastAsia="宋体" w:hAnsi="宋体" w:hint="eastAsia"/>
          <w:color w:val="000000" w:themeColor="text1"/>
          <w:sz w:val="28"/>
          <w:szCs w:val="28"/>
        </w:rPr>
        <w:t>参数</w:t>
      </w:r>
    </w:p>
    <w:p w:rsidR="00E46042" w:rsidRPr="00022102" w:rsidRDefault="00E46042">
      <w:pPr>
        <w:jc w:val="center"/>
        <w:rPr>
          <w:rFonts w:ascii="宋体" w:eastAsia="宋体" w:hAnsi="宋体"/>
          <w:color w:val="000000" w:themeColor="text1"/>
          <w:szCs w:val="21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170" w:type="dxa"/>
        <w:jc w:val="center"/>
        <w:tblLook w:val="04A0" w:firstRow="1" w:lastRow="0" w:firstColumn="1" w:lastColumn="0" w:noHBand="0" w:noVBand="1"/>
      </w:tblPr>
      <w:tblGrid>
        <w:gridCol w:w="725"/>
        <w:gridCol w:w="2841"/>
        <w:gridCol w:w="8579"/>
        <w:gridCol w:w="2025"/>
      </w:tblGrid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0" w:name="_Hlk67991329"/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80643C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产品类别</w:t>
            </w:r>
          </w:p>
        </w:tc>
        <w:tc>
          <w:tcPr>
            <w:tcW w:w="8579" w:type="dxa"/>
          </w:tcPr>
          <w:p w:rsidR="00E46042" w:rsidRPr="00022102" w:rsidRDefault="001470E8" w:rsidP="0080643C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参数要求</w:t>
            </w:r>
          </w:p>
        </w:tc>
        <w:tc>
          <w:tcPr>
            <w:tcW w:w="2025" w:type="dxa"/>
            <w:vAlign w:val="center"/>
          </w:tcPr>
          <w:p w:rsidR="00E46042" w:rsidRPr="00022102" w:rsidRDefault="001470E8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数量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千兆以太网口数≥4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个；RJ-45 Console管理口≥1个；USB接口≥2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;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最大支持256个终端接入；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★支持对接U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、蓄电池、等动力系统，实现对机房动力系统物理安全状态的实时感知；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★支持接入温湿传感器、精密空调、普通空调、漏水传感器等，实现对机房环境物理安全状态的实时感知；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#支持3D智能引擎，内置网络设备、机柜、UPS、办公资产等素材，可以基于机房真实情况，通过拖拽式真实还原，实现所画即所得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#支持基于数字孪生技术的大屏展示，向管理人员展示整体机房整体运行状态，包括U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状态、精密空调状态、电力系统、温湿度情况、告警情况等信息，数据通过友好的大屏直观呈现展示，实现管理可视化；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#支持基于电子地图进行展示多层级联动展示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#支持多种告警模式，包括电话告警、短信告警、声光告警、A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PP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告警、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WEB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告警、阿里钉钉、微信告警、邮件等；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★支持多分支机房统一管理，支持本地局域网部署和跨互联网远程部署，通过平台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可以对所有分支的接入传感器和物联网关进行统一集中管理，包括统一策略配置、统一运</w:t>
            </w:r>
            <w:bookmarkStart w:id="1" w:name="_GoBack"/>
            <w:bookmarkEnd w:id="1"/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行状态查看、统一数据分析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支持内置传感器库，传感器型号数量不少于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29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00+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支持多种传感器设备联动策略配置，比如人体红外感应装置联动空调恒温器进行空调的开关，实现高效节能；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平台和传感器设备之间需要安全保障机制，包括校验设备密码，防止被钓鱼；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#平台支持个性化设置，包括对顶部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LOGO、浏览器标题、背景图片、底部信息进行个性化设置修改，同时开第三方API接口，便于二次开发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#支持易部署上线，可以通过导航式部署快速上线传感器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#支持基于机房物理空间真实展现各个传感器和系统状态，并联动告警，同时在空间展示也出现颜色的变化，告警恢复后，颜色恢复成正常状态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#支持移动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APP运维，通过手机APP即可进行状态查看、设备远程管理、策略远程配置、数据分析查看、巡检任务、空间查看等，并内置常见告警模版，简化运维工作量</w:t>
            </w:r>
            <w:r w:rsidRPr="0002210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（提供界面截图并加盖原厂公章）；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支持巡检策略设定，记录并存储巡检报告，比如平台定时对全部设备进行巡检，及时发现异常设备，消除隐患；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支持管理员分权分级，不同的管理员拥有不同的管辖权限，方便平台的维护管理；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支持双机主备模式部署，支持多机组合式部署；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#产品为自主研发，提供物联平台软件著作权复印件并加盖公章；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#为保证设备扩展性，要求设备制造商软件开发能力达到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CMMI五级，提供相应证书复印件并要求设备制造商盖章证明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采集主机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以太网口数≥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3个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Console管理口≥1个；USB接口≥1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;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PDI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接口≥4个，P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RS485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接口≥5个，D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接口≥1个；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#支持门禁主机功能，具备专门的门禁接口，电源接口≥1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;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干接点开关接口≥1个；韦根接口≥1个；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内存≥8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GB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所有接口均支持R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J45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形态，支持对外提供2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4V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直流供电；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支持传感器类型智能识别，智能上线；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#支持在多分支机房场景下，与总部网络中断时，本地机房关键数据可以在采集主机实现缓存，时间周期大于7天，网络恢复时，数据自动补传给总部平台，保障数据不因网络中断而丢失；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支持直接接入声光告警模块和4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电话告警模块，在多分支机房场景下，与总部网络中断时，如果分支机房出现风险时，采集主机可以直接实现声光告警和电话短信告警；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支持断电、死机自动开启磁力锁，防止消防状态下人被关在里面；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支持对对传感器接入是否正常进行监测， LED灯亮则接入正常；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10、#与基础设施物理安全感知平台为同一品牌；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11、提供3C强制认证证书；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12、#为保证设备扩展性，要求设备制造商软件开发能力达到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CMMI五级，提供相应证书复印件并要求设备制造商盖章证明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可变线序采集器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PRS485接口≥1，DATA接口≥1；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RS485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、D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ATA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接口均为R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J45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形态；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支持M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ODBUS 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S232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两种接口形式的数据采集及对接；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RS485接口速率≥3Mbps，RS232接口速率≥250kbps；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#支持通过软件自定义R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S485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S232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接口线序，可实现R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X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TX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GND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的软件自定义。（提供软件截图并加盖原厂公章）；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可以被采集主机及基础设施物理安全感知平台统一管理，实现激活、上线、调试等操作；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3"/>
              </w:numPr>
              <w:ind w:firstLineChars="0"/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#与基础设施物理安全感知平台统一品牌；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E46042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E46042" w:rsidRPr="00022102" w:rsidRDefault="001470E8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="005C51AC"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</w:tr>
      <w:bookmarkEnd w:id="0"/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温湿度传感器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支持温度、湿度数据采集与上报的机架式温湿度传感器；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支持采集温度范围：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2"/>
                <w:szCs w:val="21"/>
              </w:rPr>
              <w:t>-10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6"/>
                <w:szCs w:val="21"/>
              </w:rPr>
              <w:t>℃～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3"/>
                <w:szCs w:val="21"/>
              </w:rPr>
              <w:t>70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5"/>
                <w:szCs w:val="21"/>
              </w:rPr>
              <w:t>℃</w:t>
            </w:r>
            <w:r w:rsidRPr="00022102">
              <w:rPr>
                <w:rFonts w:ascii="宋体" w:eastAsia="宋体" w:hAnsi="宋体" w:cs="Times New Roman" w:hint="eastAsia"/>
                <w:color w:val="000000" w:themeColor="text1"/>
                <w:spacing w:val="5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误差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&lt;±0.3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℃，在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25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℃时测试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支持采集湿度范围：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5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％～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95</w:t>
            </w:r>
            <w:r w:rsidRPr="00022102">
              <w:rPr>
                <w:rFonts w:ascii="宋体" w:eastAsia="宋体" w:hAnsi="宋体" w:cs="Arial Unicode MS"/>
                <w:color w:val="000000" w:themeColor="text1"/>
                <w:szCs w:val="21"/>
              </w:rPr>
              <w:t>％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RH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（无凝露）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"/>
                <w:szCs w:val="21"/>
              </w:rPr>
              <w:t>误差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1"/>
                <w:szCs w:val="21"/>
              </w:rPr>
              <w:t>&lt;±3%RH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4"/>
                <w:szCs w:val="21"/>
              </w:rPr>
              <w:t>，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"/>
                <w:szCs w:val="21"/>
              </w:rPr>
              <w:t>在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1"/>
                <w:szCs w:val="21"/>
              </w:rPr>
              <w:t>25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"/>
                <w:szCs w:val="21"/>
              </w:rPr>
              <w:t>℃时测试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2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支持液晶显示：显示当前温度，湿度，网络连接状态；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支持RS485接口：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通信协议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2"/>
                <w:szCs w:val="21"/>
              </w:rPr>
              <w:t>MODBUS-RTU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 xml:space="preserve"> 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协议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2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4"/>
                <w:szCs w:val="21"/>
              </w:rPr>
              <w:t>波特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25"/>
                <w:szCs w:val="21"/>
              </w:rPr>
              <w:t>率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25"/>
                <w:szCs w:val="21"/>
              </w:rPr>
              <w:t>：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默认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9600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；可选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2400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、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4800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、</w:t>
            </w:r>
            <w:r w:rsidRPr="00022102">
              <w:rPr>
                <w:rFonts w:ascii="宋体" w:eastAsia="宋体" w:hAnsi="宋体" w:cs="Times New Roman"/>
                <w:color w:val="000000" w:themeColor="text1"/>
                <w:szCs w:val="21"/>
              </w:rPr>
              <w:t>9600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2"/>
                <w:szCs w:val="21"/>
              </w:rPr>
              <w:t>、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19200bit/s</w:t>
            </w:r>
            <w:r w:rsidRPr="00022102">
              <w:rPr>
                <w:rFonts w:ascii="宋体" w:eastAsia="宋体" w:hAnsi="宋体" w:cs="Times New Roman" w:hint="eastAsia"/>
                <w:color w:val="000000" w:themeColor="text1"/>
                <w:spacing w:val="-1"/>
                <w:szCs w:val="21"/>
              </w:rPr>
              <w:t>；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1"/>
                <w:szCs w:val="21"/>
              </w:rPr>
              <w:t>数据格式</w:t>
            </w:r>
            <w:r w:rsidRPr="00022102">
              <w:rPr>
                <w:rFonts w:ascii="宋体" w:eastAsia="宋体" w:hAnsi="宋体" w:cs="Arial Unicode MS" w:hint="eastAsia"/>
                <w:color w:val="000000" w:themeColor="text1"/>
                <w:spacing w:val="-1"/>
                <w:szCs w:val="21"/>
              </w:rPr>
              <w:t>：</w:t>
            </w:r>
            <w:r w:rsidRPr="00022102">
              <w:rPr>
                <w:rFonts w:ascii="宋体" w:eastAsia="宋体" w:hAnsi="宋体" w:cs="Times New Roman"/>
                <w:color w:val="000000" w:themeColor="text1"/>
                <w:spacing w:val="-1"/>
                <w:szCs w:val="21"/>
              </w:rPr>
              <w:t>N,8,1</w:t>
            </w:r>
            <w:r w:rsidRPr="00022102">
              <w:rPr>
                <w:rFonts w:ascii="宋体" w:eastAsia="宋体" w:hAnsi="宋体" w:cs="Arial Unicode MS"/>
                <w:color w:val="000000" w:themeColor="text1"/>
                <w:spacing w:val="-7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设备管理：支持平台统一集中管理，支持设备自定义命名；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支持分组管理，要求不低于6级分组，包括地区、楼栋、楼层、部门、具体位置等；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支持联动空调、加湿器、除湿器实现自动化控制；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支持Web端、APP端远程查看温湿度传感器数据，以及远程调节温湿度阈值；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10、采集当前环境温度数据，通过RS485方式进行数据回传，于平台上转化为可视化展示；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11、采集当前环境湿度数据，通过RS485方式进行数据回传，于平台上转化为可视化展示；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12、支持查询当天、本月、本年的温度、湿度变化趋势，通过数据分析可得出一定的规律，为人性化物联策略提供数据支撑；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13、支持不同传感器间联动策略，如温度值与空调联动，湿度值与加湿器、除湿器联动，光照强度值与灯光联动，触发条件时则执行空调温度调节，加湿器、除湿器状态开关，灯光状态开关等动作；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14、支持设置一个范围，可以是温度/湿度任意一种，每个周期时间内检测当前上传的数据是在设定区间，当超过设定区间时通知管理员，并联动视频监控系统抓拍图像，查看异常状态；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15、支持物联平台设置一个范围，可以是温度/湿度任意一种，每个周期时间内检测当前上传的数据是在设定区间，当超过设定区间时联动声光、短信进行报警，通知管理员；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16、在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可统一管理全部温湿度传感器设备；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17、基础设施物理安全感知平台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可自动识别接入的设备并进行归类，无需人工手动区分接入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设备类型；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18、#提供C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NAS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监测报告；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19、#为保证兼容性与统一管理，要求本次招标的设备与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为同一品牌；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2841" w:type="dxa"/>
            <w:vAlign w:val="center"/>
          </w:tcPr>
          <w:p w:rsidR="00E46042" w:rsidRPr="00022102" w:rsidRDefault="00022102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烟雾传感器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支持本地供电、双绞屏蔽线供电；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支持监控电流：＜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4mA，支持火警电流：＜30mA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接口类型支持R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支持继电器干接点输出，监控时输出开路，报警时输出短路（用户可以自行设定）；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支持指示灯提示，正常情况绿灯灯常亮，检测有烟雾异常时红灯闪烁；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支持自动报警且报警音量：＞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80dB（正前方3m内）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支持正常工作温度：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-10℃～+50℃，相对湿度：＜95%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支持被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基础设施物理安全感知平台管理、配置、展示；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支持联动基础设施物理安全感知平台进行声光、电话、短信等告警；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不定位漏水传感器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漏水反应时间≤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2S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支持至少检测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200米距离范围的漏水情况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支持兼容两芯或四芯测漏传感电缆；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支持本地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12~24VDC供电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支持告警时输出阻抗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&lt;50Ω，负载电压＜60V，负载电流＜300mA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存储温度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-40°C 至60°C，工作温度-20°C 至50°C，湿度5%到95%（无冷凝）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支持不同档位触发报警的进水量设置，以适应不同环境下的漏检测；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接口类型支持R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支持通过干节点等方式接入数据采集器；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10、支持被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机房动力环境监测系统管理、配置、展示；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11、#为保证兼容性与统一管理，与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同一品牌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12、#为保证设备扩展性，要求设备制造商软件开发能力达到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CMMI五级，提供相应证书复印件并要求设备制造商盖章证明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13、配备不定位漏水线缆；</w:t>
            </w:r>
          </w:p>
        </w:tc>
        <w:tc>
          <w:tcPr>
            <w:tcW w:w="2025" w:type="dxa"/>
            <w:vAlign w:val="center"/>
          </w:tcPr>
          <w:p w:rsidR="00E46042" w:rsidRPr="00022102" w:rsidRDefault="00A42197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tabs>
                <w:tab w:val="left" w:pos="431"/>
              </w:tabs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7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声光报警器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报警音量：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MAX 110dB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工作电压：交流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9V～18V或直流12V～24V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工作环境：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-35℃～55℃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控制方式：采用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Modbus协议，通过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RS485接口与物联平台进行通信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联动告警：支持联动机房动力环境监测系统实现多样化报警，如设备异常、非法入侵、机房漏水、温度过高等告警，支持同时发出声、光二种警报信号；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支持被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基础设施物理安全感知平台管理、配置、展示；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#为保证兼容性与统一管理，要求本次招标的设备与基础设施物理安全感知平台为同一品牌；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850784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电话、短信告警模块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12V 2A 电源供电，且内置一块电池供断电后应急使用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2、支持机房动环系统统一管理、配置、监测等功能；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3、支持电话、短信告警两种方式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4、支持接口类型为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RJ45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5、支持联通、电信、移动全网通4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G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接入；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#为保证兼容性与统一管理，要求本次招标的设备与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基础设施物理安全感知平台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为同一品牌；</w:t>
            </w:r>
          </w:p>
        </w:tc>
        <w:tc>
          <w:tcPr>
            <w:tcW w:w="2025" w:type="dxa"/>
            <w:vAlign w:val="center"/>
          </w:tcPr>
          <w:p w:rsidR="00E46042" w:rsidRPr="00022102" w:rsidRDefault="00577E52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蓄电池监测模块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支持工作电压可选，范围8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.0V-18.0V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numPr>
                <w:ilvl w:val="0"/>
                <w:numId w:val="8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工作功耗：&lt; 0.05W；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电压检测精度：误差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≤0.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%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（8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.0V-18.0V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）；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支持电池温度检测，温度监测范围：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-10～85℃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温度检测精度：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±1℃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通讯接口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≥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2个百兆网口；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7、#与蓄电池收敛模块、基础设施物理安全感知平台同一品牌，支持与蓄电池收敛模块搭配使用，按照电池数量配置；</w:t>
            </w:r>
          </w:p>
        </w:tc>
        <w:tc>
          <w:tcPr>
            <w:tcW w:w="2025" w:type="dxa"/>
            <w:vAlign w:val="center"/>
          </w:tcPr>
          <w:p w:rsidR="00E46042" w:rsidRPr="00022102" w:rsidRDefault="00BC68ED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28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10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蓄电池收敛模块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支持蓄电池监测模块个数：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≥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240节；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支持组端电压检测：1~800V；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电压精度，误差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0.5%；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组端电流：支持1~3000A量程的霍尔传感器，1%精度（霍尔精度）；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工作电源：DC12V，0.2A；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安装方式：安装在电池组组端；</w:t>
            </w:r>
          </w:p>
          <w:p w:rsidR="00E46042" w:rsidRPr="00022102" w:rsidRDefault="001470E8" w:rsidP="00BC68ED">
            <w:pPr>
              <w:numPr>
                <w:ilvl w:val="0"/>
                <w:numId w:val="9"/>
              </w:num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工作温度：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-25℃～+85℃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支持与电流霍尔搭配使用；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#与基础设施物理安全感知平台、蓄电池监测模块同一品牌；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10、支持与机房动力环境监测系统对接，实现告警、展示等功能联动；</w:t>
            </w:r>
          </w:p>
        </w:tc>
        <w:tc>
          <w:tcPr>
            <w:tcW w:w="2025" w:type="dxa"/>
            <w:vAlign w:val="center"/>
          </w:tcPr>
          <w:p w:rsidR="00E46042" w:rsidRPr="00022102" w:rsidRDefault="00BC68ED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蓄电池监测终端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支持H</w:t>
            </w:r>
            <w:r w:rsidRPr="00022102">
              <w:rPr>
                <w:rFonts w:ascii="宋体" w:eastAsia="宋体" w:hAnsi="宋体" w:cs="宋体"/>
                <w:color w:val="000000" w:themeColor="text1"/>
                <w:szCs w:val="21"/>
              </w:rPr>
              <w:t>DMI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宋体"/>
                <w:color w:val="000000" w:themeColor="text1"/>
                <w:szCs w:val="21"/>
              </w:rPr>
              <w:t>VGA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、485等通讯协议，支持多种接口；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网络接口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≥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1个百兆R</w:t>
            </w:r>
            <w:r w:rsidRPr="00022102">
              <w:rPr>
                <w:rFonts w:ascii="宋体" w:eastAsia="宋体" w:hAnsi="宋体" w:cs="宋体"/>
                <w:color w:val="000000" w:themeColor="text1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接口；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支持DC12V 3A供电；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支持监测最高单体序号、最高电梯电压值、最低单体序号、最低单体电压值、最高温度序号、最高温度值、最低温度序号、最低温度值、单体总数、最低单体剩余容量；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这次监测环境温度、总续航时间、电压告警、电流告警、容量、可充电电量、可放电电量、组端S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OC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、剩余容量、容量百分比、单体S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OC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#与基础设施物理安全感知平台、蓄电池监测模块同一品牌；</w:t>
            </w:r>
          </w:p>
          <w:p w:rsidR="00E46042" w:rsidRPr="00022102" w:rsidRDefault="001470E8" w:rsidP="00BC68ED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7、支持与基础设施物理安全感知平台对接，实现告警、展示等功能联动。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12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电流霍尔传感器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outlineLvl w:val="1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1、电流量程： 200A；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2、与组端收敛模搭配使用；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3、监测组端电流、电压；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红外人体检测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工作电源：支DC 12V（可工作在 DC9-24 V）；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探测距离≥12m 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探测角度≥90度；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探测速度≥0.3米/秒~3米/秒；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5、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防拆输出：常闭，接点容量 DC28 V 100 mA；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报警输出：常闭/常开可选，接点容量DC28 V 100 mA；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符合标准：GB10408. 1; GB10408. 6; GB16796；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支持Web端、APP端远程设置设备状态；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持联动其他设备，如报警设备、视频监控设备等；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10、支持在物联网平台可统一管理全部红外人体感应设备；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14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人脸识别一体机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支持7英寸LCD触摸显示屏，屏幕比例16:9，屏幕分辨率1024*600，可显示软件界面及操作提示，设备实时检测最大人脸，具有人脸框提示设计，方便用户校准；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支持采用200万宽动态摄像头，最大视场角120°，面部识别距离＞2m，适应1.2m-2.0m身高范围，支持手机照片、视频防假，支持远程视频预览，支持识别二维码；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支持星光级图像传感器，无需白光补光灯，在暗光或无光环境下人脸识别效果不受影响；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设备采用深度学习算法，支持5000人脸库，人脸比对时间≤0.2s/人，人脸验证准确率≥99%，识别速度快，准确率高；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5、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设备支持多种认证方式：刷卡、人脸、刷卡+人脸等认证方式；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设备支持普通卡/残疾人卡/黑名单/巡更卡/来宾卡/胁迫卡/超级卡/解除卡等多种卡片类型；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7、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设备支持多重卡开门功能、首卡开门功能、超级卡和超级密码开门、中心远程开门、多重卡认证+远程授权（N+1）开门功能、在线升级功能、单门反潜回功能；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设备支持门禁时段管控（计划模板），按需授权开门；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设备支持防拆报警、门被外力开起报警、胁迫卡和胁迫码报警、黑名单报警；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10、设备可存储用户数据(可通过本地注册、TCP/IP 传输或用U盘将用户数据导入到设备中)，支持在断网模式下单机运行；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11、设备可进行本地管理，支持本地注册人脸、查询、设置、管理设备参数等；可通过U盘导入用户数据、人脸及门禁参数，也可通过U盘导出联动抓拍照片（需通过客户端配置事件联动保存抓拍图片）；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12、设备支持数据网络上传功能，可将设备比对结果及联动抓拍照片实时上传给平台；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13、设备支持断网续传功能，设备离线状态下产生事件在与平台连接后会重新上传；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14、设备支持通过RS485外接1个读卡器（不支持指纹读卡器）或外接门禁主机，还可通过RS485接入门控安全模块，防止主机被恶意破坏的情况下，门锁不被打开；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15、设备支持通过韦根接口外接门禁主机或韦根读卡器；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16、设备支持远程视频预览功能，可以通过RTSP协议输出视频码流，编码格式H.264；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17、设备可输出认证结果固定语音提示；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18、设备支持看门狗守护机制，防拆设计，保障设备运行稳定性；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19、#设备支持与动环系统对接，实现统一管理；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20、含磁力锁、开门按钮、电源等配件包1；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15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固定电话告警模块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1、#支持与动环系统对接，实现出现险情时通过固定电话将告警信息推送给管理员；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2、告警通讯方式：RJ11固定电话线；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3、可拨范围：固定电话、手机号均可；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4、工作温度：-20℃-55℃；</w:t>
            </w:r>
          </w:p>
          <w:p w:rsidR="00E46042" w:rsidRPr="00022102" w:rsidRDefault="001470E8" w:rsidP="00BC68ED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5、供电方式：5V 1A，DC电源适配器；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16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市电监测模块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市电输入接口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路L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/N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湿节点输入，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市电接入量程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90~275VAC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接口类型支持R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J45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网口形态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支持M</w:t>
            </w:r>
            <w:r w:rsidRPr="0002210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ODBUS 485</w:t>
            </w: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协议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波特率支持范围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1200~115200bps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传输距离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≥1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200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米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防雷等级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≥2000W(静电放电)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过压过流保护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30V/200mA</w:t>
            </w:r>
          </w:p>
          <w:p w:rsidR="00E46042" w:rsidRPr="00022102" w:rsidRDefault="001470E8" w:rsidP="00BC68ED">
            <w:pPr>
              <w:pStyle w:val="a4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功耗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≤0.3W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10、安装方式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导轨或支架安装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11、支持基础设施物理安全感知平台统一管理、配置等操作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12、#与机房动力环境监测系统同一品牌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022102" w:rsidRPr="00022102" w:rsidTr="00022102">
        <w:trPr>
          <w:jc w:val="center"/>
        </w:trPr>
        <w:tc>
          <w:tcPr>
            <w:tcW w:w="725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841" w:type="dxa"/>
            <w:vAlign w:val="center"/>
          </w:tcPr>
          <w:p w:rsidR="00E46042" w:rsidRPr="00022102" w:rsidRDefault="001470E8" w:rsidP="00022102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三相电量仪</w:t>
            </w:r>
          </w:p>
        </w:tc>
        <w:tc>
          <w:tcPr>
            <w:tcW w:w="8579" w:type="dxa"/>
          </w:tcPr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1、支持测量</w:t>
            </w:r>
            <w:r w:rsidRPr="00022102">
              <w:rPr>
                <w:rFonts w:ascii="宋体" w:eastAsia="宋体" w:hAnsi="宋体" w:cs="Arial"/>
                <w:color w:val="000000" w:themeColor="text1"/>
                <w:kern w:val="0"/>
                <w:szCs w:val="21"/>
                <w:lang w:val="zh-CN"/>
              </w:rPr>
              <w:t>各相相电压有效值、三相相电压有效值的平均值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电压有效值、三相线电压有效值的平均值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相位角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1～4回路各相电流有效值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有功功率、总有功功率，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kern w:val="18"/>
                <w:szCs w:val="21"/>
              </w:rPr>
              <w:t>全回路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总有功功率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各相无功功率、总无功功率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总视在功率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各相功率因数、总功率因数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各相有功电能、总有功电能，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kern w:val="18"/>
                <w:szCs w:val="21"/>
              </w:rPr>
              <w:t>全回路</w:t>
            </w:r>
            <w:r w:rsidRPr="00022102">
              <w:rPr>
                <w:rFonts w:ascii="宋体" w:eastAsia="宋体" w:hAnsi="宋体" w:cs="Arial"/>
                <w:color w:val="000000" w:themeColor="text1"/>
                <w:kern w:val="18"/>
                <w:szCs w:val="21"/>
              </w:rPr>
              <w:t>总有功电能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kern w:val="18"/>
                <w:szCs w:val="21"/>
              </w:rPr>
              <w:t>；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2、支持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计量有功电能，掉电不丢失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 w:cs="Arial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3、支持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采用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网口形态的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>RS485数字通讯接口采集所有数据，支持MODBUS规约</w:t>
            </w:r>
            <w:r w:rsidRPr="00022102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 w:cs="Arial"/>
                <w:color w:val="000000" w:themeColor="text1"/>
                <w:szCs w:val="21"/>
              </w:rPr>
              <w:t xml:space="preserve"> </w:t>
            </w:r>
          </w:p>
          <w:p w:rsidR="00E46042" w:rsidRPr="00022102" w:rsidRDefault="001470E8" w:rsidP="00BC68ED">
            <w:pPr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4、电压支持：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测量范围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: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 30~600V(线电压)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20~400V(相电压)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PT: 1~10000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；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连续过载：800V</w:t>
            </w:r>
          </w:p>
          <w:p w:rsidR="00E46042" w:rsidRPr="00022102" w:rsidRDefault="001470E8" w:rsidP="00BC68ED">
            <w:pPr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6、电流支持：配互感器 with CT 0~400A；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ab/>
              <w:t>直入型0~6A；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CT:1~10000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；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连续过载：2倍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7、支持功率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测量范围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单相功率：0~80000W/var总功率：0~240000W/var/VA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 xml:space="preserve">按实际输入 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3×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U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×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I)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8、频率：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测量范围：45~60Hz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9、精度：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电流：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闭环互感器≤0.5% ；开环互感器≤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电压：相电压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0.5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；线电压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功率：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闭环CT 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%；开环≤CT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功率因数：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闭环CT 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%； 开环CT≤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频率：45~60Hz±0.1Hz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电能：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闭环≤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1.0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%；开环≤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2.0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%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10、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电压范围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支持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（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范围内可选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）：①AC85~265V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or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DC85~330V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②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DC18~90V; ③DC20~60V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11、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功耗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≤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W</w:t>
            </w:r>
          </w:p>
          <w:p w:rsidR="00E46042" w:rsidRPr="00022102" w:rsidRDefault="001470E8" w:rsidP="00BC68ED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12、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绝缘强度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输入/电源：2.0kV/ min·1mA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RS485/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其它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：1.0kV/ min·1mA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13、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电磁兼容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1.2/50-8/20us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浪涌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电源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：4kV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 xml:space="preserve">；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I/O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线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 xml:space="preserve"> I/O Line：2kV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 xml:space="preserve">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8/20us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；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快速脉冲串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 xml:space="preserve"> ：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电源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P：4kV,2.5kHz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 xml:space="preserve"> 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I/O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</w:rPr>
              <w:t>线</w:t>
            </w:r>
            <w:r w:rsidRPr="00022102"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  <w:t>I/O Line：2kV, 5kHz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  <w:lang w:val="de-DE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14、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支持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被基础设施物理安全感知平台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管理、配置、数据展示等；</w:t>
            </w:r>
          </w:p>
          <w:p w:rsidR="00E46042" w:rsidRPr="00022102" w:rsidRDefault="001470E8" w:rsidP="00BC68ED">
            <w:pPr>
              <w:pStyle w:val="a4"/>
              <w:spacing w:line="276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Cs w:val="21"/>
              </w:rPr>
              <w:t>15、</w:t>
            </w:r>
            <w:r w:rsidRPr="00022102">
              <w:rPr>
                <w:rFonts w:ascii="宋体" w:eastAsia="宋体" w:hAnsi="宋体" w:hint="eastAsia"/>
                <w:color w:val="000000" w:themeColor="text1"/>
                <w:szCs w:val="21"/>
                <w:lang w:val="de-DE"/>
              </w:rPr>
              <w:t>配备电流互感器等配件；</w:t>
            </w:r>
          </w:p>
        </w:tc>
        <w:tc>
          <w:tcPr>
            <w:tcW w:w="2025" w:type="dxa"/>
            <w:vAlign w:val="center"/>
          </w:tcPr>
          <w:p w:rsidR="00E46042" w:rsidRPr="00022102" w:rsidRDefault="00876DD1" w:rsidP="00BC68E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221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</w:tbl>
    <w:p w:rsidR="00E46042" w:rsidRPr="00022102" w:rsidRDefault="00E46042">
      <w:pPr>
        <w:spacing w:line="276" w:lineRule="auto"/>
        <w:rPr>
          <w:rFonts w:ascii="宋体" w:eastAsia="宋体" w:hAnsi="宋体"/>
          <w:color w:val="000000" w:themeColor="text1"/>
          <w:szCs w:val="21"/>
        </w:rPr>
      </w:pPr>
    </w:p>
    <w:p w:rsidR="00E46042" w:rsidRPr="00022102" w:rsidRDefault="00E46042">
      <w:pPr>
        <w:rPr>
          <w:rFonts w:ascii="宋体" w:eastAsia="宋体" w:hAnsi="宋体"/>
          <w:color w:val="000000" w:themeColor="text1"/>
          <w:szCs w:val="21"/>
        </w:rPr>
      </w:pPr>
    </w:p>
    <w:sectPr w:rsidR="00E46042" w:rsidRPr="000221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25" w:rsidRDefault="00F61925" w:rsidP="00A42197">
      <w:r>
        <w:separator/>
      </w:r>
    </w:p>
  </w:endnote>
  <w:endnote w:type="continuationSeparator" w:id="0">
    <w:p w:rsidR="00F61925" w:rsidRDefault="00F61925" w:rsidP="00A4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25" w:rsidRDefault="00F61925" w:rsidP="00A42197">
      <w:r>
        <w:separator/>
      </w:r>
    </w:p>
  </w:footnote>
  <w:footnote w:type="continuationSeparator" w:id="0">
    <w:p w:rsidR="00F61925" w:rsidRDefault="00F61925" w:rsidP="00A42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6EA"/>
    <w:multiLevelType w:val="multilevel"/>
    <w:tmpl w:val="060176E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067E27"/>
    <w:multiLevelType w:val="multilevel"/>
    <w:tmpl w:val="0C067E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DA7162"/>
    <w:multiLevelType w:val="multilevel"/>
    <w:tmpl w:val="0EDA716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4508C7"/>
    <w:multiLevelType w:val="multilevel"/>
    <w:tmpl w:val="164508C7"/>
    <w:lvl w:ilvl="0">
      <w:start w:val="1"/>
      <w:numFmt w:val="decimal"/>
      <w:lvlText w:val="%1、"/>
      <w:lvlJc w:val="left"/>
      <w:pPr>
        <w:ind w:left="437" w:hanging="437"/>
      </w:pPr>
      <w:rPr>
        <w:rFonts w:ascii="宋体" w:eastAsia="宋体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861270"/>
    <w:multiLevelType w:val="multilevel"/>
    <w:tmpl w:val="17861270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FF71A9"/>
    <w:multiLevelType w:val="multilevel"/>
    <w:tmpl w:val="21FF71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0D622B"/>
    <w:multiLevelType w:val="multilevel"/>
    <w:tmpl w:val="4F0D622B"/>
    <w:lvl w:ilvl="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5D6376"/>
    <w:multiLevelType w:val="multilevel"/>
    <w:tmpl w:val="5E5D637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1912C8"/>
    <w:multiLevelType w:val="multilevel"/>
    <w:tmpl w:val="661912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8F393C"/>
    <w:multiLevelType w:val="multilevel"/>
    <w:tmpl w:val="6E8F39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A23E18"/>
    <w:multiLevelType w:val="multilevel"/>
    <w:tmpl w:val="74A23E1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kNWQ5MmNlNTU2Yjk2NjhlMDc5MjFiMzkzMTAwM2YifQ=="/>
  </w:docVars>
  <w:rsids>
    <w:rsidRoot w:val="00A0169F"/>
    <w:rsid w:val="00022102"/>
    <w:rsid w:val="00047091"/>
    <w:rsid w:val="000555F1"/>
    <w:rsid w:val="00094EBB"/>
    <w:rsid w:val="001420A0"/>
    <w:rsid w:val="001470E8"/>
    <w:rsid w:val="00147F8B"/>
    <w:rsid w:val="001778F9"/>
    <w:rsid w:val="001A33D5"/>
    <w:rsid w:val="001A5828"/>
    <w:rsid w:val="001B20BB"/>
    <w:rsid w:val="0024139D"/>
    <w:rsid w:val="00244830"/>
    <w:rsid w:val="00342131"/>
    <w:rsid w:val="0039630B"/>
    <w:rsid w:val="00396572"/>
    <w:rsid w:val="003D6C87"/>
    <w:rsid w:val="00403EF2"/>
    <w:rsid w:val="0042478D"/>
    <w:rsid w:val="00456702"/>
    <w:rsid w:val="004646B5"/>
    <w:rsid w:val="00470464"/>
    <w:rsid w:val="00480DA4"/>
    <w:rsid w:val="004D71C2"/>
    <w:rsid w:val="004F79FD"/>
    <w:rsid w:val="00514289"/>
    <w:rsid w:val="00577E52"/>
    <w:rsid w:val="005A1EDC"/>
    <w:rsid w:val="005A3E00"/>
    <w:rsid w:val="005C18F0"/>
    <w:rsid w:val="005C51AC"/>
    <w:rsid w:val="005E0371"/>
    <w:rsid w:val="005E6826"/>
    <w:rsid w:val="006459B2"/>
    <w:rsid w:val="00647318"/>
    <w:rsid w:val="00675D0D"/>
    <w:rsid w:val="006D74B8"/>
    <w:rsid w:val="00707382"/>
    <w:rsid w:val="007E43E6"/>
    <w:rsid w:val="007E6EF7"/>
    <w:rsid w:val="0080643C"/>
    <w:rsid w:val="00850784"/>
    <w:rsid w:val="00876325"/>
    <w:rsid w:val="00876DD1"/>
    <w:rsid w:val="008C3A24"/>
    <w:rsid w:val="00961A4E"/>
    <w:rsid w:val="00967125"/>
    <w:rsid w:val="00984E91"/>
    <w:rsid w:val="009F1F76"/>
    <w:rsid w:val="009F3B12"/>
    <w:rsid w:val="00A00124"/>
    <w:rsid w:val="00A0169F"/>
    <w:rsid w:val="00A42197"/>
    <w:rsid w:val="00A55F2C"/>
    <w:rsid w:val="00AC37B7"/>
    <w:rsid w:val="00B06A17"/>
    <w:rsid w:val="00B13CBD"/>
    <w:rsid w:val="00B56A3F"/>
    <w:rsid w:val="00B61863"/>
    <w:rsid w:val="00B7438F"/>
    <w:rsid w:val="00BB0486"/>
    <w:rsid w:val="00BC68ED"/>
    <w:rsid w:val="00C03AF3"/>
    <w:rsid w:val="00C765EE"/>
    <w:rsid w:val="00CD4878"/>
    <w:rsid w:val="00CE13ED"/>
    <w:rsid w:val="00CE79B5"/>
    <w:rsid w:val="00D064B3"/>
    <w:rsid w:val="00D164D1"/>
    <w:rsid w:val="00D42C42"/>
    <w:rsid w:val="00D51720"/>
    <w:rsid w:val="00D6245C"/>
    <w:rsid w:val="00DA4339"/>
    <w:rsid w:val="00DA6FBD"/>
    <w:rsid w:val="00DF7F20"/>
    <w:rsid w:val="00E42CFD"/>
    <w:rsid w:val="00E46042"/>
    <w:rsid w:val="00E5058C"/>
    <w:rsid w:val="00E63186"/>
    <w:rsid w:val="00E6460F"/>
    <w:rsid w:val="00F43AB6"/>
    <w:rsid w:val="00F454B3"/>
    <w:rsid w:val="00F61925"/>
    <w:rsid w:val="00F8210A"/>
    <w:rsid w:val="00FA6F70"/>
    <w:rsid w:val="00FD7AD3"/>
    <w:rsid w:val="00FE4CEE"/>
    <w:rsid w:val="191B1C17"/>
    <w:rsid w:val="1AA6195A"/>
    <w:rsid w:val="276A71F1"/>
    <w:rsid w:val="2AD541C1"/>
    <w:rsid w:val="390A4C11"/>
    <w:rsid w:val="49F26F6A"/>
    <w:rsid w:val="4C680075"/>
    <w:rsid w:val="4DA52EE5"/>
    <w:rsid w:val="68A93430"/>
    <w:rsid w:val="7E2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0B6164-33B2-4FA3-86D0-44A9B05A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40" w:after="120"/>
      <w:jc w:val="left"/>
      <w:outlineLvl w:val="2"/>
    </w:pPr>
    <w:rPr>
      <w:rFonts w:ascii="Times New Roman" w:eastAsia="黑体" w:hAnsi="Times New Roman" w:cs="Times New Roman"/>
      <w:bCs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qFormat/>
    <w:rPr>
      <w:rFonts w:ascii="Times New Roman" w:eastAsia="黑体" w:hAnsi="Times New Roman" w:cs="Times New Roman"/>
      <w:bCs/>
      <w:sz w:val="26"/>
      <w:szCs w:val="32"/>
    </w:rPr>
  </w:style>
  <w:style w:type="paragraph" w:customStyle="1" w:styleId="2074">
    <w:name w:val="2正文左侧缩进0.74厘米"/>
    <w:basedOn w:val="a"/>
    <w:qFormat/>
    <w:pPr>
      <w:spacing w:line="400" w:lineRule="exact"/>
      <w:ind w:left="420"/>
    </w:pPr>
    <w:rPr>
      <w:rFonts w:ascii="Times New Roman" w:eastAsia="宋体" w:hAnsi="Times New Roman" w:cs="宋体"/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A42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21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2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21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D82A-A12F-42D3-A8EA-5D338F71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1043</Words>
  <Characters>5950</Characters>
  <Application>Microsoft Office Word</Application>
  <DocSecurity>0</DocSecurity>
  <Lines>49</Lines>
  <Paragraphs>13</Paragraphs>
  <ScaleCrop>false</ScaleCrop>
  <Company>微软中国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saryyu</dc:creator>
  <cp:lastModifiedBy>Microsoft 帐户</cp:lastModifiedBy>
  <cp:revision>19</cp:revision>
  <dcterms:created xsi:type="dcterms:W3CDTF">2021-03-29T09:42:00Z</dcterms:created>
  <dcterms:modified xsi:type="dcterms:W3CDTF">2023-08-11T01:08:00Z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59952A9D06EA46EF962409A471059034_13</vt:lpwstr>
  </property>
</Properties>
</file>