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40" w:rsidRPr="00A477C1" w:rsidRDefault="006E7B40" w:rsidP="006E7B40">
      <w:pPr>
        <w:pStyle w:val="a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477C1">
        <w:rPr>
          <w:rFonts w:ascii="黑体" w:eastAsia="黑体" w:hAnsi="黑体" w:hint="eastAsia"/>
          <w:sz w:val="36"/>
          <w:szCs w:val="36"/>
        </w:rPr>
        <w:t>项目说明及</w:t>
      </w:r>
      <w:r w:rsidRPr="00A477C1">
        <w:rPr>
          <w:rFonts w:ascii="黑体" w:eastAsia="黑体" w:hAnsi="黑体"/>
          <w:sz w:val="36"/>
          <w:szCs w:val="36"/>
        </w:rPr>
        <w:t>技术部分评分参数</w:t>
      </w:r>
    </w:p>
    <w:p w:rsidR="00E02D79" w:rsidRPr="006E7B40" w:rsidRDefault="003A7191" w:rsidP="006E7B40">
      <w:pPr>
        <w:pStyle w:val="a8"/>
        <w:numPr>
          <w:ilvl w:val="0"/>
          <w:numId w:val="1"/>
        </w:numPr>
        <w:spacing w:line="360" w:lineRule="auto"/>
        <w:ind w:firstLineChars="0" w:firstLine="0"/>
        <w:rPr>
          <w:rFonts w:ascii="宋体" w:eastAsia="宋体" w:hAnsi="宋体" w:cs="微软雅黑"/>
          <w:bCs/>
          <w:color w:val="333333"/>
          <w:kern w:val="0"/>
          <w:sz w:val="24"/>
          <w:shd w:val="clear" w:color="auto" w:fill="FFFFFF"/>
          <w:lang w:bidi="ar"/>
        </w:rPr>
      </w:pPr>
      <w:r w:rsidRPr="006E7B40">
        <w:rPr>
          <w:rFonts w:ascii="宋体" w:eastAsia="宋体" w:hAnsi="宋体" w:cs="微软雅黑" w:hint="eastAsia"/>
          <w:bCs/>
          <w:color w:val="333333"/>
          <w:kern w:val="0"/>
          <w:sz w:val="24"/>
          <w:shd w:val="clear" w:color="auto" w:fill="FFFFFF"/>
          <w:lang w:bidi="ar"/>
        </w:rPr>
        <w:t>采购标的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微软雅黑"/>
          <w:color w:val="333333"/>
          <w:sz w:val="24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名称</w:t>
      </w:r>
      <w:r w:rsidRPr="006E7B40">
        <w:rPr>
          <w:rFonts w:ascii="宋体" w:eastAsia="宋体" w:hAnsi="宋体" w:cs="微软雅黑" w:hint="eastAsia"/>
          <w:color w:val="333333"/>
          <w:sz w:val="24"/>
          <w:shd w:val="clear" w:color="auto" w:fill="FFFFFF"/>
        </w:rPr>
        <w:t>：结核菌靶基因测序服务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预算金额（万元）：22.6</w:t>
      </w:r>
    </w:p>
    <w:p w:rsidR="00E02D79" w:rsidRPr="006E7B40" w:rsidRDefault="006E7B40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>
        <w:rPr>
          <w:rFonts w:ascii="宋体" w:eastAsia="宋体" w:hAnsi="宋体" w:cs="微软雅黑" w:hint="eastAsia"/>
          <w:color w:val="333333"/>
          <w:shd w:val="clear" w:color="auto" w:fill="FFFFFF"/>
        </w:rPr>
        <w:t>项目联系人：北京胸科医院 病理科 车佳璐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>15531429219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bCs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bCs/>
          <w:color w:val="333333"/>
          <w:shd w:val="clear" w:color="auto" w:fill="FFFFFF"/>
        </w:rPr>
        <w:t>二、采购需求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结核杆菌靶基因突变位点检测</w:t>
      </w:r>
      <w:r w:rsidR="006E7B40">
        <w:rPr>
          <w:rFonts w:ascii="宋体" w:eastAsia="宋体" w:hAnsi="宋体" w:cs="微软雅黑" w:hint="eastAsia"/>
          <w:color w:val="333333"/>
          <w:shd w:val="clear" w:color="auto" w:fill="FFFFFF"/>
        </w:rPr>
        <w:t>（本实验为灭活菌株，不具有传染性）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bCs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bCs/>
          <w:color w:val="333333"/>
          <w:shd w:val="clear" w:color="auto" w:fill="FFFFFF"/>
        </w:rPr>
        <w:t>三、技术要求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1、采购内容明细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①样本类型：痰样本D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>NA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②样本数量：226个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③每项样本检测服务内容的控制价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>：1000元（不满足为废标项）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2、检测标准及指标要求</w:t>
      </w:r>
    </w:p>
    <w:p w:rsidR="008A0A6B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/>
        </w:rPr>
      </w:pPr>
      <w:r w:rsidRPr="006E7B40">
        <w:rPr>
          <w:rFonts w:ascii="宋体" w:eastAsia="宋体" w:hAnsi="宋体" w:hint="eastAsia"/>
        </w:rPr>
        <w:t>引物设计将靶基因全部覆盖，对应amplicon的测序深度均一，覆盖深度大于1000，有效数据占比大于90%。下机后提供位点信息及原始数据。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bCs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bCs/>
          <w:color w:val="333333"/>
          <w:shd w:val="clear" w:color="auto" w:fill="FFFFFF"/>
        </w:rPr>
        <w:t>四、商务要求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>#</w:t>
      </w: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1、服务期限：60个工作日内完成测序和数据反馈及剩余样本返回。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2、服务地点：公司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>3</w:t>
      </w: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、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>付款条件（进度和方式）</w:t>
      </w: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：凭公司提供的结题报告、发票在两周内以银行转账方式支付。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bCs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bCs/>
          <w:color w:val="333333"/>
          <w:shd w:val="clear" w:color="auto" w:fill="FFFFFF"/>
        </w:rPr>
        <w:t>五、服务要求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>#</w:t>
      </w: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1、技术服务人员的相关要求（如适用）：精通测序原理，可以解答相关实验细节问题，对于数据分析可以提供必要的指导。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2、拟投入实验仪器及设备（如需）要求：life平台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>（不满足为废标项）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 w:hint="eastAsia"/>
          <w:color w:val="333333"/>
          <w:shd w:val="clear" w:color="auto" w:fill="FFFFFF"/>
        </w:rPr>
        <w:t>3、其他服务要求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#1.具有CLIA和室间质评一类资质                                                                           #2.提供以往同类实验服务（靶基因测序）报告或报告样板 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>包括</w:t>
      </w:r>
      <w:r w:rsidRPr="006E7B40">
        <w:rPr>
          <w:rFonts w:ascii="宋体" w:eastAsia="宋体" w:hAnsi="宋体" w:hint="eastAsia"/>
        </w:rPr>
        <w:t>覆盖率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、平均测序深度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、测序深度均一性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  </w:t>
      </w:r>
      <w:r w:rsidRPr="006E7B40">
        <w:rPr>
          <w:rFonts w:ascii="宋体" w:eastAsia="宋体" w:hAnsi="宋体"/>
        </w:rPr>
        <w:t>提供位点信息#</w:t>
      </w:r>
      <w:r w:rsidRPr="006E7B40">
        <w:rPr>
          <w:rFonts w:ascii="宋体" w:eastAsia="宋体" w:hAnsi="宋体" w:hint="eastAsia"/>
        </w:rPr>
        <w:t>（突变位点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，相应测序深度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，突变频率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，每个amplicon的测序深度</w:t>
      </w:r>
      <w:r w:rsidRPr="006E7B40">
        <w:rPr>
          <w:rFonts w:ascii="宋体" w:eastAsia="宋体" w:hAnsi="宋体"/>
        </w:rPr>
        <w:t>#</w:t>
      </w:r>
      <w:r w:rsidRPr="006E7B40">
        <w:rPr>
          <w:rFonts w:ascii="宋体" w:eastAsia="宋体" w:hAnsi="宋体" w:hint="eastAsia"/>
        </w:rPr>
        <w:t>）</w:t>
      </w: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                                                                 #3.样本检测报告反馈时间小于7天                                                                           4.后续服务免费（不满足为废标项）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*5.按时返回剩余样本  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#6.提供每个样本的质控信息 </w:t>
      </w:r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t xml:space="preserve"> </w:t>
      </w:r>
      <w:bookmarkStart w:id="0" w:name="_GoBack"/>
      <w:bookmarkEnd w:id="0"/>
    </w:p>
    <w:p w:rsidR="00E02D79" w:rsidRPr="006E7B40" w:rsidRDefault="003A7191" w:rsidP="006E7B40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微软雅黑"/>
          <w:color w:val="333333"/>
          <w:shd w:val="clear" w:color="auto" w:fill="FFFFFF"/>
        </w:rPr>
      </w:pPr>
      <w:r w:rsidRPr="006E7B40">
        <w:rPr>
          <w:rFonts w:ascii="宋体" w:eastAsia="宋体" w:hAnsi="宋体" w:cs="微软雅黑"/>
          <w:color w:val="333333"/>
          <w:shd w:val="clear" w:color="auto" w:fill="FFFFFF"/>
        </w:rPr>
        <w:lastRenderedPageBreak/>
        <w:t xml:space="preserve">                                                                     </w:t>
      </w:r>
    </w:p>
    <w:p w:rsidR="00E02D79" w:rsidRPr="00A477C1" w:rsidRDefault="003A7191" w:rsidP="006E7B4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477C1">
        <w:rPr>
          <w:rFonts w:ascii="黑体" w:eastAsia="黑体" w:hAnsi="黑体" w:hint="eastAsia"/>
          <w:sz w:val="36"/>
          <w:szCs w:val="36"/>
        </w:rPr>
        <w:t>测序服务要求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 xml:space="preserve">测序平台：life平台 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具体服务内容：针对临床样本检测结核菌靶基因的引物设计及二代测序实验。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要求：引物设计将靶基因全部覆盖，对应amplicon的测序深度均一，覆盖深度大于1000，有效数据占比大于90%。</w:t>
      </w:r>
    </w:p>
    <w:p w:rsidR="00E02D79" w:rsidRPr="006E7B40" w:rsidRDefault="003A7191" w:rsidP="006E7B4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文库构建：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 PCR 酶混合液、DNA 扩增引物混合液和 DNA 样本取出，置于冰上待融化后，涡 旋振荡混匀离心，置于冰上备用。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5274310" cy="1398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79" w:rsidRPr="006E7B40" w:rsidRDefault="003A7191" w:rsidP="006E7B4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引物的消化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将消化酶取出，轻弹混匀（避免振荡），瞬时离心，置于冰上备用；将 PCR 扩增产物 从 PCR 仪中取出，瞬时离心后，在每管扩增产物中加入 2μL 的消化酶，用移液器吹打混 盖紧 PCR 管盖，瞬时离心，以收集管壁和管盖上的残余反应液，将 PCR 管置于冰 上备用。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5274310" cy="13658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79" w:rsidRPr="006E7B40" w:rsidRDefault="003A7191" w:rsidP="006E7B4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扩增子的接头连接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 P1 接头，1-48 种待用的特异性接头，DNA 连接酶缓冲液取出，室温融化后，涡旋 振荡混匀离心，置于冰盒上备用；取出 DNA 连接酶轻弹混匀离心，置于冰盒上备用；将 文库纯化磁珠充分涡旋混匀离心后置于室温至少 30 分钟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5274310" cy="13766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将配制好的接头混合液涡旋振荡混匀后，瞬时离心，置于冰上备用。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lastRenderedPageBreak/>
        <w:t>连接体系的配制 从 PCR 仪中取出含引物消化产物的 PCR 管，按照表 13 要求向其中依次加入 DNA 连 接酶缓冲液、接头混合液、DNA 连接酶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用移液器吹打混匀后，盖紧 PCR 管盖，瞬时离心，以收集管壁和管盖上的残余反应液， 将 PCR 管置于冰上备用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连接反应 将 PCR 管置于 PCR 仪上，按照表 14 设置程序，进行连接反应：</w:t>
      </w:r>
    </w:p>
    <w:p w:rsidR="00E02D79" w:rsidRPr="006E7B40" w:rsidRDefault="003A7191" w:rsidP="006E7B40">
      <w:pPr>
        <w:pStyle w:val="a8"/>
        <w:spacing w:line="360" w:lineRule="auto"/>
        <w:ind w:left="360" w:firstLineChars="0" w:firstLine="0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5274310" cy="11753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b/>
          <w:sz w:val="24"/>
        </w:rPr>
        <w:t>3  文库纯化磁珠纯化文库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PCR反应结束将八联排放置在小黄板上，向各管中分别加入45 ul的文库纯化磁珠（1.5 *体积），涡混使磁珠和DNA充分混匀，盖好八连管盖。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室温静置5 min，使磁珠和DNA充分孵育结合。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将八联排简短离心后置于96孔磁力架上5 min，至溶液澄清，弃废液，注意枪头不要碰到磁珠。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加入190 ul新鲜配制的70%乙醇，稍静置，翻转八联排2次，移液器调至200 ul小心地吸除PCR管中的上清，注意枪头不要碰到磁珠。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重复步骤4）一次。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用10 ul的移液器吸除残余的乙醇，开盖2-4min使乙醇完全挥发，干燥程度以没有反光表面略粗糙最好。注：乙醇残留会抑制后面的文库扩增。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将八联排从磁力架上取下，向PCR管中加</w:t>
      </w:r>
      <w:r w:rsidRPr="006E7B40">
        <w:rPr>
          <w:rFonts w:ascii="宋体" w:eastAsia="宋体" w:hAnsi="宋体" w:cs="Times New Roman"/>
          <w:color w:val="000000"/>
          <w:sz w:val="24"/>
        </w:rPr>
        <w:t>入30ul文库洗脱液，</w:t>
      </w:r>
      <w:r w:rsidRPr="006E7B40">
        <w:rPr>
          <w:rFonts w:ascii="宋体" w:eastAsia="宋体" w:hAnsi="宋体" w:cs="Times New Roman"/>
          <w:sz w:val="24"/>
        </w:rPr>
        <w:t>涡旋振荡混匀，简短离心以收集管壁和管盖上的残余溶液。</w:t>
      </w:r>
    </w:p>
    <w:p w:rsidR="00E02D79" w:rsidRPr="006E7B40" w:rsidRDefault="003A7191" w:rsidP="006E7B40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将八联排简短离心后置于磁力架上2 min至溶液澄清，用移液器小心地转移25ul上清至新的EP管中，即纯化的文库，在EP管上标记文库编号。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b/>
          <w:sz w:val="24"/>
        </w:rPr>
      </w:pPr>
      <w:r w:rsidRPr="006E7B40">
        <w:rPr>
          <w:rFonts w:ascii="宋体" w:eastAsia="宋体" w:hAnsi="宋体" w:cs="Times New Roman"/>
          <w:b/>
          <w:sz w:val="24"/>
        </w:rPr>
        <w:t>4 测定文库浓度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使用Qubit测定每个文库的浓度，并计算其总量。</w:t>
      </w:r>
    </w:p>
    <w:p w:rsidR="00E02D79" w:rsidRPr="006E7B40" w:rsidRDefault="003A7191" w:rsidP="006E7B40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向0.5ul离心管中加入198ul dsDNA HS Buffer。</w:t>
      </w:r>
    </w:p>
    <w:p w:rsidR="00E02D79" w:rsidRPr="006E7B40" w:rsidRDefault="003A7191" w:rsidP="006E7B40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加1ul dsDNA HS Reagent染料混匀。</w:t>
      </w:r>
    </w:p>
    <w:p w:rsidR="00E02D79" w:rsidRPr="006E7B40" w:rsidRDefault="003A7191" w:rsidP="006E7B40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加1ul样本震荡混匀，简短离心后避光静置2分钟测其Qubit。</w:t>
      </w:r>
    </w:p>
    <w:p w:rsidR="00E02D79" w:rsidRPr="006E7B40" w:rsidRDefault="003A7191" w:rsidP="006E7B40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/>
          <w:sz w:val="24"/>
        </w:rPr>
        <w:t>记录文库浓度。</w:t>
      </w:r>
    </w:p>
    <w:p w:rsidR="00E02D79" w:rsidRPr="006E7B40" w:rsidRDefault="003A7191" w:rsidP="006E7B40">
      <w:pPr>
        <w:spacing w:line="360" w:lineRule="auto"/>
        <w:outlineLvl w:val="0"/>
        <w:rPr>
          <w:rFonts w:ascii="宋体" w:eastAsia="宋体" w:hAnsi="宋体" w:cs="Times New Roman"/>
          <w:b/>
          <w:kern w:val="0"/>
          <w:sz w:val="24"/>
        </w:rPr>
      </w:pPr>
      <w:r w:rsidRPr="006E7B40">
        <w:rPr>
          <w:rFonts w:ascii="宋体" w:eastAsia="宋体" w:hAnsi="宋体" w:cs="Times New Roman"/>
          <w:b/>
          <w:kern w:val="0"/>
          <w:sz w:val="24"/>
        </w:rPr>
        <w:lastRenderedPageBreak/>
        <w:t>5 文库qPCR定量</w:t>
      </w:r>
    </w:p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bookmarkStart w:id="1" w:name="_Toc448409252"/>
      <w:bookmarkStart w:id="2" w:name="_Toc448409397"/>
      <w:r w:rsidRPr="006E7B40">
        <w:rPr>
          <w:rFonts w:ascii="宋体" w:eastAsia="宋体" w:hAnsi="宋体" w:cs="Times New Roman"/>
          <w:kern w:val="0"/>
          <w:sz w:val="24"/>
        </w:rPr>
        <w:t>文库定量标准品的梯度稀释</w:t>
      </w:r>
    </w:p>
    <w:p w:rsidR="00E02D79" w:rsidRPr="006E7B40" w:rsidRDefault="003A7191" w:rsidP="006E7B40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将文库定量标准品置于冰上彻底融化，充分振荡混匀，简短离心后置于冰上备用；</w:t>
      </w:r>
    </w:p>
    <w:p w:rsidR="00E02D79" w:rsidRPr="006E7B40" w:rsidRDefault="003A7191" w:rsidP="006E7B40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用无核酸酶水将标准品（68pM）按下表进行10倍梯度稀释，涡旋10s后简短离心，重复3次，置于冰上备用。</w:t>
      </w:r>
    </w:p>
    <w:tbl>
      <w:tblPr>
        <w:tblW w:w="6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856"/>
        <w:gridCol w:w="1365"/>
        <w:gridCol w:w="1106"/>
        <w:gridCol w:w="1629"/>
      </w:tblGrid>
      <w:tr w:rsidR="00E02D79" w:rsidRPr="006E7B4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ind w:leftChars="-53" w:left="-111" w:rightChars="-51" w:right="-107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标准品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文库标准品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无核酸酶水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稀释倍数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终浓度</w:t>
            </w:r>
          </w:p>
        </w:tc>
      </w:tr>
      <w:tr w:rsidR="00E02D79" w:rsidRPr="006E7B4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S1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i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sz w:val="24"/>
              </w:rPr>
              <w:t>5μL</w:t>
            </w: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（未稀释）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sz w:val="24"/>
              </w:rPr>
              <w:t>45μL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6.8</w:t>
            </w:r>
            <w:r w:rsidRPr="006E7B40">
              <w:rPr>
                <w:rFonts w:ascii="宋体" w:eastAsia="宋体" w:hAnsi="宋体" w:cs="Times New Roman"/>
                <w:sz w:val="24"/>
              </w:rPr>
              <w:t>pM</w:t>
            </w:r>
          </w:p>
        </w:tc>
      </w:tr>
      <w:tr w:rsidR="00E02D79" w:rsidRPr="006E7B4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S2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i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sz w:val="24"/>
              </w:rPr>
              <w:t xml:space="preserve">5μL </w:t>
            </w: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S1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45μL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0.68pM</w:t>
            </w:r>
          </w:p>
        </w:tc>
      </w:tr>
      <w:tr w:rsidR="00E02D79" w:rsidRPr="006E7B4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S3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i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sz w:val="24"/>
              </w:rPr>
              <w:t>5μL</w:t>
            </w: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 xml:space="preserve"> S2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45μL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0.068pM</w:t>
            </w:r>
          </w:p>
        </w:tc>
      </w:tr>
      <w:tr w:rsidR="00E02D79" w:rsidRPr="006E7B4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S4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i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5μL S3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45μL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10000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0.0068pM</w:t>
            </w:r>
          </w:p>
        </w:tc>
      </w:tr>
    </w:tbl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sz w:val="24"/>
        </w:rPr>
        <w:t>AmpliSeq</w:t>
      </w:r>
      <w:r w:rsidRPr="006E7B40">
        <w:rPr>
          <w:rFonts w:ascii="宋体" w:eastAsia="宋体" w:hAnsi="宋体" w:cs="Times New Roman"/>
          <w:kern w:val="0"/>
          <w:sz w:val="24"/>
        </w:rPr>
        <w:t>文库的梯度稀释</w:t>
      </w:r>
    </w:p>
    <w:p w:rsidR="00E02D79" w:rsidRPr="006E7B40" w:rsidRDefault="003A7191" w:rsidP="006E7B40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将文库按1: 20进行稀释，再按1: 50进行稀释，建议冰上操作：</w:t>
      </w:r>
    </w:p>
    <w:tbl>
      <w:tblPr>
        <w:tblW w:w="6380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1725"/>
        <w:gridCol w:w="1995"/>
        <w:gridCol w:w="1311"/>
      </w:tblGrid>
      <w:tr w:rsidR="00E02D79" w:rsidRPr="006E7B40">
        <w:trPr>
          <w:trHeight w:val="54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文库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Nuclease-free Water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总稀释倍数</w:t>
            </w:r>
          </w:p>
        </w:tc>
      </w:tr>
      <w:tr w:rsidR="00E02D79" w:rsidRPr="006E7B40">
        <w:trPr>
          <w:trHeight w:val="3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Sample 1-1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2 μL文库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38μL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1:20</w:t>
            </w:r>
          </w:p>
        </w:tc>
      </w:tr>
      <w:tr w:rsidR="00E02D79" w:rsidRPr="006E7B40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Sample 1-2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2 μLSample 1-1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98 μL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>1:1000</w:t>
            </w:r>
          </w:p>
        </w:tc>
      </w:tr>
    </w:tbl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PCR 反应体系的制备</w:t>
      </w:r>
    </w:p>
    <w:p w:rsidR="00E02D79" w:rsidRPr="006E7B40" w:rsidRDefault="003A7191" w:rsidP="006E7B40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将文库定量探针反应液涡旋振荡后离心备用，文库定量混合液轻柔颠倒混匀离心备用（MasterMix不能vortex）。</w:t>
      </w:r>
    </w:p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反应体系配制</w:t>
      </w:r>
    </w:p>
    <w:p w:rsidR="00E02D79" w:rsidRPr="006E7B40" w:rsidRDefault="003A7191" w:rsidP="006E7B40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color w:val="000000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每个样品做2个平行实验。</w:t>
      </w:r>
    </w:p>
    <w:p w:rsidR="00E02D79" w:rsidRPr="006E7B40" w:rsidRDefault="003A7191" w:rsidP="006E7B40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color w:val="000000"/>
          <w:kern w:val="0"/>
          <w:sz w:val="24"/>
        </w:rPr>
        <w:t>实验的反应体系10 μL，根据反应总数配制Master Mix和Assay混合的总体系</w:t>
      </w:r>
      <w:r w:rsidRPr="006E7B40">
        <w:rPr>
          <w:rFonts w:ascii="宋体" w:eastAsia="宋体" w:hAnsi="宋体" w:cs="Times New Roman"/>
          <w:kern w:val="0"/>
          <w:sz w:val="24"/>
        </w:rPr>
        <w:t>：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2197"/>
        <w:gridCol w:w="4469"/>
      </w:tblGrid>
      <w:tr w:rsidR="00E02D79" w:rsidRPr="006E7B40">
        <w:trPr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试剂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单个样本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文库定量</w:t>
            </w: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反应体系总量</w:t>
            </w:r>
          </w:p>
        </w:tc>
      </w:tr>
      <w:tr w:rsidR="00E02D79" w:rsidRPr="006E7B40">
        <w:trPr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文库定量混合液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5μL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{2*（文库总个数+标准品个数4）+损耗5}*5</w:t>
            </w:r>
          </w:p>
        </w:tc>
      </w:tr>
      <w:tr w:rsidR="00E02D79" w:rsidRPr="006E7B40">
        <w:trPr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bCs/>
                <w:kern w:val="0"/>
                <w:sz w:val="24"/>
              </w:rPr>
              <w:t>文库定量探针反应液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0.5μL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{2*（文库总个数+标准品个数4）+损耗5}*0.5</w:t>
            </w:r>
          </w:p>
        </w:tc>
      </w:tr>
    </w:tbl>
    <w:p w:rsidR="00E02D79" w:rsidRPr="006E7B40" w:rsidRDefault="003A7191" w:rsidP="006E7B40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将配制好的</w:t>
      </w:r>
      <w:r w:rsidRPr="006E7B40">
        <w:rPr>
          <w:rFonts w:ascii="宋体" w:eastAsia="宋体" w:hAnsi="宋体" w:cs="Times New Roman"/>
          <w:bCs/>
          <w:kern w:val="0"/>
          <w:sz w:val="24"/>
        </w:rPr>
        <w:t>文库定量</w:t>
      </w:r>
      <w:r w:rsidRPr="006E7B40">
        <w:rPr>
          <w:rFonts w:ascii="宋体" w:eastAsia="宋体" w:hAnsi="宋体" w:cs="Times New Roman"/>
          <w:kern w:val="0"/>
          <w:sz w:val="24"/>
        </w:rPr>
        <w:t>反应体系轻柔颠倒混匀后，分装8联管中，每孔分配5.5ul。</w:t>
      </w:r>
    </w:p>
    <w:p w:rsidR="00E02D79" w:rsidRPr="006E7B40" w:rsidRDefault="003A7191" w:rsidP="006E7B40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lastRenderedPageBreak/>
        <w:t>分别取4.5μL稀释的标准品（S1， S2， S3和S4）和稀释适当倍数的文库加入至相应的qPCR管中，盖紧PCR管盖，短暂离心后涡旋振荡混匀再离心，放入qPCR仪中。</w:t>
      </w:r>
    </w:p>
    <w:p w:rsidR="00E02D79" w:rsidRPr="006E7B40" w:rsidRDefault="003A7191" w:rsidP="006E7B40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bCs/>
          <w:kern w:val="0"/>
          <w:sz w:val="24"/>
        </w:rPr>
        <w:t>Real-time PCR仪的设置：</w:t>
      </w:r>
    </w:p>
    <w:p w:rsidR="00E02D79" w:rsidRPr="006E7B40" w:rsidRDefault="003A7191" w:rsidP="006E7B40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依次设置标准品的浓度。</w:t>
      </w:r>
    </w:p>
    <w:p w:rsidR="00E02D79" w:rsidRPr="006E7B40" w:rsidRDefault="003A7191" w:rsidP="006E7B40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设置ROX作为参考染料，选择FAM</w:t>
      </w:r>
      <w:r w:rsidRPr="006E7B40">
        <w:rPr>
          <w:rFonts w:ascii="宋体" w:eastAsia="宋体" w:hAnsi="宋体" w:cs="Times New Roman"/>
          <w:kern w:val="0"/>
          <w:sz w:val="24"/>
          <w:vertAlign w:val="superscript"/>
        </w:rPr>
        <w:t>TM</w:t>
      </w:r>
      <w:r w:rsidRPr="006E7B40">
        <w:rPr>
          <w:rFonts w:ascii="宋体" w:eastAsia="宋体" w:hAnsi="宋体" w:cs="Times New Roman"/>
          <w:kern w:val="0"/>
          <w:sz w:val="24"/>
        </w:rPr>
        <w:t>染料/MGB作为TaqMan探针的报告/淬灭剂。</w:t>
      </w:r>
    </w:p>
    <w:p w:rsidR="00E02D79" w:rsidRPr="006E7B40" w:rsidRDefault="003A7191" w:rsidP="006E7B40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反应体系10μL。</w:t>
      </w:r>
    </w:p>
    <w:p w:rsidR="00E02D79" w:rsidRPr="006E7B40" w:rsidRDefault="003A7191" w:rsidP="006E7B40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选择“Standard”作为运行模式。</w:t>
      </w:r>
    </w:p>
    <w:p w:rsidR="00E02D79" w:rsidRPr="006E7B40" w:rsidRDefault="003A7191" w:rsidP="006E7B40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设置反应条件（其他型号仪器查询官网）。</w:t>
      </w: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418"/>
      </w:tblGrid>
      <w:tr w:rsidR="00E02D79" w:rsidRPr="006E7B40">
        <w:trPr>
          <w:jc w:val="center"/>
        </w:trPr>
        <w:tc>
          <w:tcPr>
            <w:tcW w:w="1413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阶段</w:t>
            </w:r>
          </w:p>
        </w:tc>
        <w:tc>
          <w:tcPr>
            <w:tcW w:w="1276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温度</w:t>
            </w:r>
          </w:p>
        </w:tc>
        <w:tc>
          <w:tcPr>
            <w:tcW w:w="1275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循环数</w:t>
            </w:r>
          </w:p>
        </w:tc>
      </w:tr>
      <w:tr w:rsidR="00E02D79" w:rsidRPr="006E7B40">
        <w:trPr>
          <w:jc w:val="center"/>
        </w:trPr>
        <w:tc>
          <w:tcPr>
            <w:tcW w:w="1413" w:type="dxa"/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UDG孵育</w:t>
            </w:r>
          </w:p>
        </w:tc>
        <w:tc>
          <w:tcPr>
            <w:tcW w:w="1276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50°C</w:t>
            </w:r>
          </w:p>
        </w:tc>
        <w:tc>
          <w:tcPr>
            <w:tcW w:w="1275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2min</w:t>
            </w:r>
          </w:p>
        </w:tc>
        <w:tc>
          <w:tcPr>
            <w:tcW w:w="1418" w:type="dxa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—</w:t>
            </w:r>
          </w:p>
        </w:tc>
      </w:tr>
      <w:tr w:rsidR="00E02D79" w:rsidRPr="006E7B40">
        <w:trPr>
          <w:jc w:val="center"/>
        </w:trPr>
        <w:tc>
          <w:tcPr>
            <w:tcW w:w="1413" w:type="dxa"/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酶的激活</w:t>
            </w:r>
          </w:p>
        </w:tc>
        <w:tc>
          <w:tcPr>
            <w:tcW w:w="1276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95°C</w:t>
            </w:r>
          </w:p>
        </w:tc>
        <w:tc>
          <w:tcPr>
            <w:tcW w:w="1275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1min</w:t>
            </w:r>
          </w:p>
        </w:tc>
        <w:tc>
          <w:tcPr>
            <w:tcW w:w="1418" w:type="dxa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—</w:t>
            </w:r>
          </w:p>
        </w:tc>
      </w:tr>
      <w:tr w:rsidR="00E02D79" w:rsidRPr="006E7B40">
        <w:trPr>
          <w:jc w:val="center"/>
        </w:trPr>
        <w:tc>
          <w:tcPr>
            <w:tcW w:w="1413" w:type="dxa"/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变性</w:t>
            </w:r>
          </w:p>
        </w:tc>
        <w:tc>
          <w:tcPr>
            <w:tcW w:w="1276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95°C</w:t>
            </w:r>
          </w:p>
        </w:tc>
        <w:tc>
          <w:tcPr>
            <w:tcW w:w="1275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15s</w:t>
            </w:r>
          </w:p>
        </w:tc>
        <w:tc>
          <w:tcPr>
            <w:tcW w:w="1418" w:type="dxa"/>
            <w:vMerge w:val="restart"/>
            <w:vAlign w:val="center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40</w:t>
            </w:r>
          </w:p>
        </w:tc>
      </w:tr>
      <w:tr w:rsidR="00E02D79" w:rsidRPr="006E7B40">
        <w:trPr>
          <w:jc w:val="center"/>
        </w:trPr>
        <w:tc>
          <w:tcPr>
            <w:tcW w:w="1413" w:type="dxa"/>
          </w:tcPr>
          <w:p w:rsidR="00E02D79" w:rsidRPr="006E7B40" w:rsidRDefault="003A7191" w:rsidP="006E7B4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退火和延伸</w:t>
            </w:r>
          </w:p>
        </w:tc>
        <w:tc>
          <w:tcPr>
            <w:tcW w:w="1276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60°C</w:t>
            </w:r>
          </w:p>
        </w:tc>
        <w:tc>
          <w:tcPr>
            <w:tcW w:w="1275" w:type="dxa"/>
          </w:tcPr>
          <w:p w:rsidR="00E02D79" w:rsidRPr="006E7B40" w:rsidRDefault="003A7191" w:rsidP="006E7B4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6E7B40">
              <w:rPr>
                <w:rFonts w:ascii="宋体" w:eastAsia="宋体" w:hAnsi="宋体" w:cs="Times New Roman"/>
                <w:kern w:val="0"/>
                <w:sz w:val="24"/>
              </w:rPr>
              <w:t>45s</w:t>
            </w:r>
          </w:p>
        </w:tc>
        <w:tc>
          <w:tcPr>
            <w:tcW w:w="1418" w:type="dxa"/>
            <w:vMerge/>
          </w:tcPr>
          <w:p w:rsidR="00E02D79" w:rsidRPr="006E7B40" w:rsidRDefault="00E02D79" w:rsidP="006E7B4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kern w:val="0"/>
                <w:sz w:val="24"/>
              </w:rPr>
            </w:pPr>
          </w:p>
        </w:tc>
      </w:tr>
    </w:tbl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bCs/>
          <w:kern w:val="0"/>
          <w:sz w:val="24"/>
        </w:rPr>
      </w:pPr>
      <w:r w:rsidRPr="006E7B40">
        <w:rPr>
          <w:rFonts w:ascii="宋体" w:eastAsia="宋体" w:hAnsi="宋体" w:cs="Times New Roman"/>
          <w:bCs/>
          <w:kern w:val="0"/>
          <w:sz w:val="24"/>
        </w:rPr>
        <w:t>数据的处理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根据QPCR结果，计算出未稀释的文库浓度（QPCR浓度乘以相应的稀释倍数）。</w:t>
      </w:r>
    </w:p>
    <w:p w:rsidR="00E02D79" w:rsidRPr="006E7B40" w:rsidRDefault="003A7191" w:rsidP="006E7B40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bCs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文库质控标准</w:t>
      </w:r>
    </w:p>
    <w:p w:rsidR="00E02D79" w:rsidRPr="006E7B40" w:rsidRDefault="003A7191" w:rsidP="006E7B40">
      <w:pPr>
        <w:spacing w:line="360" w:lineRule="auto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kern w:val="0"/>
          <w:sz w:val="24"/>
        </w:rPr>
        <w:t>文库QPCR浓度＞20pM，即此文库合格</w:t>
      </w:r>
    </w:p>
    <w:p w:rsidR="00E02D79" w:rsidRPr="006E7B40" w:rsidRDefault="003A7191" w:rsidP="006E7B40">
      <w:pPr>
        <w:pStyle w:val="a8"/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Lines="50" w:before="156" w:line="360" w:lineRule="auto"/>
        <w:ind w:firstLineChars="0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/>
          <w:bCs/>
          <w:kern w:val="0"/>
          <w:sz w:val="24"/>
        </w:rPr>
        <w:t>文库的稀释及混样（按照</w:t>
      </w:r>
      <w:r w:rsidRPr="006E7B40">
        <w:rPr>
          <w:rFonts w:ascii="宋体" w:eastAsia="宋体" w:hAnsi="宋体" w:cs="Times New Roman"/>
          <w:kern w:val="0"/>
          <w:sz w:val="24"/>
        </w:rPr>
        <w:t>pooling信息表进行pooling</w:t>
      </w:r>
      <w:r w:rsidRPr="006E7B40">
        <w:rPr>
          <w:rFonts w:ascii="宋体" w:eastAsia="宋体" w:hAnsi="宋体" w:cs="Times New Roman"/>
          <w:bCs/>
          <w:kern w:val="0"/>
          <w:sz w:val="24"/>
        </w:rPr>
        <w:t>）</w:t>
      </w:r>
      <w:r w:rsidRPr="006E7B40">
        <w:rPr>
          <w:rFonts w:ascii="宋体" w:eastAsia="宋体" w:hAnsi="宋体" w:cs="Times New Roman"/>
          <w:kern w:val="0"/>
          <w:sz w:val="24"/>
        </w:rPr>
        <w:t>混样总体积100 μL，浓度6 pM。</w:t>
      </w:r>
      <w:bookmarkEnd w:id="1"/>
      <w:bookmarkEnd w:id="2"/>
    </w:p>
    <w:p w:rsidR="00E02D79" w:rsidRPr="006E7B40" w:rsidRDefault="003A7191" w:rsidP="006E7B40">
      <w:pPr>
        <w:widowControl/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</w:rPr>
      </w:pPr>
      <w:r w:rsidRPr="006E7B40">
        <w:rPr>
          <w:rFonts w:ascii="宋体" w:eastAsia="宋体" w:hAnsi="宋体" w:cs="Times New Roman" w:hint="eastAsia"/>
          <w:kern w:val="0"/>
          <w:sz w:val="24"/>
        </w:rPr>
        <w:t>要求：实验完成后提供每一步样本质控信息。</w:t>
      </w:r>
    </w:p>
    <w:p w:rsidR="00E02D79" w:rsidRPr="006E7B40" w:rsidRDefault="003A7191" w:rsidP="006E7B40">
      <w:pPr>
        <w:widowControl/>
        <w:overflowPunct w:val="0"/>
        <w:autoSpaceDE w:val="0"/>
        <w:autoSpaceDN w:val="0"/>
        <w:adjustRightInd w:val="0"/>
        <w:spacing w:beforeLines="50" w:before="156" w:line="360" w:lineRule="auto"/>
        <w:jc w:val="left"/>
        <w:textAlignment w:val="baseline"/>
        <w:rPr>
          <w:rFonts w:ascii="宋体" w:eastAsia="宋体" w:hAnsi="宋体" w:cs="Times New Roman"/>
          <w:sz w:val="24"/>
        </w:rPr>
      </w:pPr>
      <w:r w:rsidRPr="006E7B40">
        <w:rPr>
          <w:rFonts w:ascii="宋体" w:eastAsia="宋体" w:hAnsi="宋体" w:cs="Times New Roman" w:hint="eastAsia"/>
          <w:sz w:val="24"/>
        </w:rPr>
        <w:t>数据分析要求：</w:t>
      </w:r>
      <w:r w:rsidRPr="006E7B40">
        <w:rPr>
          <w:rFonts w:ascii="宋体" w:eastAsia="宋体" w:hAnsi="宋体" w:cs="Times New Roman"/>
          <w:sz w:val="24"/>
        </w:rPr>
        <w:t>下机后</w:t>
      </w:r>
      <w:r w:rsidRPr="006E7B40">
        <w:rPr>
          <w:rFonts w:ascii="宋体" w:eastAsia="宋体" w:hAnsi="宋体" w:cs="Times New Roman" w:hint="eastAsia"/>
          <w:sz w:val="24"/>
        </w:rPr>
        <w:t>公司负责原始数据处理分析，提供数据质控：覆盖率、平均测序深度、测序深度均一性，</w:t>
      </w:r>
      <w:r w:rsidRPr="006E7B40">
        <w:rPr>
          <w:rFonts w:ascii="宋体" w:eastAsia="宋体" w:hAnsi="宋体" w:cs="Times New Roman"/>
          <w:sz w:val="24"/>
        </w:rPr>
        <w:t>提供位点信息</w:t>
      </w:r>
      <w:r w:rsidRPr="006E7B40">
        <w:rPr>
          <w:rFonts w:ascii="宋体" w:eastAsia="宋体" w:hAnsi="宋体" w:cs="Times New Roman" w:hint="eastAsia"/>
          <w:sz w:val="24"/>
        </w:rPr>
        <w:t>（突变位点，相应测序深度，突变频率，每个amplicon的测序深度）</w:t>
      </w:r>
      <w:r w:rsidRPr="006E7B40">
        <w:rPr>
          <w:rFonts w:ascii="宋体" w:eastAsia="宋体" w:hAnsi="宋体" w:cs="Times New Roman"/>
          <w:sz w:val="24"/>
        </w:rPr>
        <w:t>及原始数据。</w:t>
      </w:r>
    </w:p>
    <w:sectPr w:rsidR="00E02D79" w:rsidRPr="006E7B40">
      <w:pgSz w:w="11906" w:h="16838"/>
      <w:pgMar w:top="567" w:right="1417" w:bottom="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3E" w:rsidRDefault="009A733E" w:rsidP="00A477C1">
      <w:r>
        <w:separator/>
      </w:r>
    </w:p>
  </w:endnote>
  <w:endnote w:type="continuationSeparator" w:id="0">
    <w:p w:rsidR="009A733E" w:rsidRDefault="009A733E" w:rsidP="00A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3E" w:rsidRDefault="009A733E" w:rsidP="00A477C1">
      <w:r>
        <w:separator/>
      </w:r>
    </w:p>
  </w:footnote>
  <w:footnote w:type="continuationSeparator" w:id="0">
    <w:p w:rsidR="009A733E" w:rsidRDefault="009A733E" w:rsidP="00A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FBEB8F"/>
    <w:multiLevelType w:val="singleLevel"/>
    <w:tmpl w:val="9AFBEB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7414BD"/>
    <w:multiLevelType w:val="multilevel"/>
    <w:tmpl w:val="007414BD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2E662A"/>
    <w:multiLevelType w:val="multilevel"/>
    <w:tmpl w:val="012E662A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D574DD"/>
    <w:multiLevelType w:val="multilevel"/>
    <w:tmpl w:val="38D574D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640" w:hanging="2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596A4F"/>
    <w:multiLevelType w:val="multilevel"/>
    <w:tmpl w:val="4B596A4F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264494"/>
    <w:multiLevelType w:val="multilevel"/>
    <w:tmpl w:val="56264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D82486"/>
    <w:multiLevelType w:val="multilevel"/>
    <w:tmpl w:val="5BD82486"/>
    <w:lvl w:ilvl="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F4431"/>
    <w:multiLevelType w:val="multilevel"/>
    <w:tmpl w:val="690F4431"/>
    <w:lvl w:ilvl="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zg2ODhhZDMzZWZlMDBhMGEwMTU2YzhhNDIxNGUifQ=="/>
  </w:docVars>
  <w:rsids>
    <w:rsidRoot w:val="0D806315"/>
    <w:rsid w:val="DEDF51CE"/>
    <w:rsid w:val="EFBF765B"/>
    <w:rsid w:val="00287800"/>
    <w:rsid w:val="003A7191"/>
    <w:rsid w:val="0050096D"/>
    <w:rsid w:val="005649E7"/>
    <w:rsid w:val="005D4D68"/>
    <w:rsid w:val="0069588F"/>
    <w:rsid w:val="006E7B40"/>
    <w:rsid w:val="008A0A6B"/>
    <w:rsid w:val="008D7577"/>
    <w:rsid w:val="009A58B3"/>
    <w:rsid w:val="009A733E"/>
    <w:rsid w:val="00A32EF4"/>
    <w:rsid w:val="00A477C1"/>
    <w:rsid w:val="00AD7F7A"/>
    <w:rsid w:val="00C764FE"/>
    <w:rsid w:val="00D718B6"/>
    <w:rsid w:val="00E02D79"/>
    <w:rsid w:val="0D806315"/>
    <w:rsid w:val="1FF3C816"/>
    <w:rsid w:val="3DF7B85D"/>
    <w:rsid w:val="5B59578C"/>
    <w:rsid w:val="773D21F6"/>
    <w:rsid w:val="78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C89AE0B-F67D-46B1-87E9-483DD67C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1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503</Words>
  <Characters>2873</Characters>
  <Application>Microsoft Office Word</Application>
  <DocSecurity>0</DocSecurity>
  <Lines>23</Lines>
  <Paragraphs>6</Paragraphs>
  <ScaleCrop>false</ScaleCrop>
  <Company>HP Inc.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6</cp:revision>
  <dcterms:created xsi:type="dcterms:W3CDTF">2022-09-24T16:27:00Z</dcterms:created>
  <dcterms:modified xsi:type="dcterms:W3CDTF">2022-10-11T01:04:00Z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5BF4CF87DADC41BD9E040D09C174A6CB</vt:lpwstr>
  </property>
</Properties>
</file>